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方正粗金陵简体" w:hAnsi="方正粗金陵简体" w:eastAsia="方正粗金陵简体" w:cs="方正粗金陵简体"/>
          <w:sz w:val="32"/>
          <w:szCs w:val="32"/>
          <w:lang w:val="en-US" w:eastAsia="zh-CN"/>
        </w:rPr>
      </w:pPr>
      <w:r>
        <w:rPr>
          <w:rFonts w:hint="eastAsia" w:ascii="方正粗金陵简体" w:hAnsi="方正粗金陵简体" w:eastAsia="方正粗金陵简体" w:cs="方正粗金陵简体"/>
          <w:sz w:val="32"/>
          <w:szCs w:val="32"/>
          <w:lang w:val="en-US" w:eastAsia="zh-CN"/>
        </w:rPr>
        <w:drawing>
          <wp:anchor distT="0" distB="0" distL="114300" distR="114300" simplePos="0" relativeHeight="251660288" behindDoc="1" locked="0" layoutInCell="1" allowOverlap="1">
            <wp:simplePos x="0" y="0"/>
            <wp:positionH relativeFrom="column">
              <wp:posOffset>4382135</wp:posOffset>
            </wp:positionH>
            <wp:positionV relativeFrom="paragraph">
              <wp:posOffset>-542290</wp:posOffset>
            </wp:positionV>
            <wp:extent cx="1208405" cy="339725"/>
            <wp:effectExtent l="0" t="0" r="0" b="0"/>
            <wp:wrapNone/>
            <wp:docPr id="4" name="图片 4" descr="金茂服务-logo_画板 1 副本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金茂服务-logo_画板 1 副本 4"/>
                    <pic:cNvPicPr>
                      <a:picLocks noChangeAspect="1"/>
                    </pic:cNvPicPr>
                  </pic:nvPicPr>
                  <pic:blipFill>
                    <a:blip r:embed="rId4"/>
                    <a:stretch>
                      <a:fillRect/>
                    </a:stretch>
                  </pic:blipFill>
                  <pic:spPr>
                    <a:xfrm>
                      <a:off x="0" y="0"/>
                      <a:ext cx="1208405" cy="339725"/>
                    </a:xfrm>
                    <a:prstGeom prst="rect">
                      <a:avLst/>
                    </a:prstGeom>
                  </pic:spPr>
                </pic:pic>
              </a:graphicData>
            </a:graphic>
          </wp:anchor>
        </w:drawing>
      </w:r>
      <w:r>
        <w:rPr>
          <w:rFonts w:hint="eastAsia" w:ascii="方正粗金陵简体" w:hAnsi="方正粗金陵简体" w:eastAsia="方正粗金陵简体" w:cs="方正粗金陵简体"/>
          <w:sz w:val="32"/>
          <w:szCs w:val="32"/>
          <w:lang w:val="en-US" w:eastAsia="zh-CN"/>
        </w:rPr>
        <w:drawing>
          <wp:anchor distT="0" distB="0" distL="114300" distR="114300" simplePos="0" relativeHeight="251660288" behindDoc="1" locked="0" layoutInCell="1" allowOverlap="1">
            <wp:simplePos x="0" y="0"/>
            <wp:positionH relativeFrom="column">
              <wp:posOffset>-370205</wp:posOffset>
            </wp:positionH>
            <wp:positionV relativeFrom="paragraph">
              <wp:posOffset>-584835</wp:posOffset>
            </wp:positionV>
            <wp:extent cx="1507490" cy="424180"/>
            <wp:effectExtent l="0" t="0" r="0" b="0"/>
            <wp:wrapNone/>
            <wp:docPr id="3" name="图片 3" descr="金茂服务-logo_画板 1 副本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金茂服务-logo_画板 1 副本 2"/>
                    <pic:cNvPicPr>
                      <a:picLocks noChangeAspect="1"/>
                    </pic:cNvPicPr>
                  </pic:nvPicPr>
                  <pic:blipFill>
                    <a:blip r:embed="rId5"/>
                    <a:stretch>
                      <a:fillRect/>
                    </a:stretch>
                  </pic:blipFill>
                  <pic:spPr>
                    <a:xfrm>
                      <a:off x="0" y="0"/>
                      <a:ext cx="1507490" cy="424180"/>
                    </a:xfrm>
                    <a:prstGeom prst="rect">
                      <a:avLst/>
                    </a:prstGeom>
                  </pic:spPr>
                </pic:pic>
              </a:graphicData>
            </a:graphic>
          </wp:anchor>
        </w:drawing>
      </w:r>
      <w:r>
        <w:rPr>
          <w:rFonts w:hint="eastAsia" w:ascii="方正粗金陵简体" w:hAnsi="方正粗金陵简体" w:eastAsia="方正粗金陵简体" w:cs="方正粗金陵简体"/>
          <w:sz w:val="32"/>
          <w:szCs w:val="32"/>
          <w:lang w:val="en-US" w:eastAsia="zh-CN"/>
        </w:rPr>
        <w:t>金茂服务2024届“向阳生”校园招聘简章</w:t>
      </w:r>
    </w:p>
    <w:p>
      <w:pPr>
        <w:numPr>
          <w:ilvl w:val="0"/>
          <w:numId w:val="1"/>
        </w:numPr>
        <w:spacing w:line="360" w:lineRule="auto"/>
        <w:rPr>
          <w:rFonts w:hint="eastAsia" w:ascii="华文楷体" w:hAnsi="华文楷体" w:eastAsia="华文楷体" w:cs="华文楷体"/>
          <w:b/>
          <w:bCs/>
          <w:sz w:val="24"/>
          <w:szCs w:val="24"/>
          <w:lang w:val="en-US" w:eastAsia="zh-CN"/>
        </w:rPr>
      </w:pPr>
      <w:r>
        <w:rPr>
          <w:rFonts w:hint="eastAsia" w:ascii="华文楷体" w:hAnsi="华文楷体" w:eastAsia="华文楷体" w:cs="华文楷体"/>
          <w:b/>
          <w:bCs/>
          <w:sz w:val="24"/>
          <w:szCs w:val="24"/>
          <w:lang w:val="en-US" w:eastAsia="zh-CN"/>
        </w:rPr>
        <w:t>企业介绍</w:t>
      </w:r>
    </w:p>
    <w:p>
      <w:pPr>
        <w:spacing w:line="360" w:lineRule="auto"/>
        <w:jc w:val="left"/>
        <w:rPr>
          <w:rFonts w:hint="eastAsia" w:ascii="华文楷体" w:hAnsi="华文楷体" w:eastAsia="华文楷体" w:cs="华文楷体"/>
          <w:sz w:val="24"/>
          <w:szCs w:val="24"/>
          <w:lang w:val="en-US" w:eastAsia="zh-CN"/>
        </w:rPr>
      </w:pPr>
      <w:r>
        <w:rPr>
          <w:rFonts w:hint="eastAsia" w:ascii="华文楷体" w:hAnsi="华文楷体" w:eastAsia="华文楷体" w:cs="华文楷体"/>
          <w:b/>
          <w:bCs/>
          <w:color w:val="EE822F" w:themeColor="accent2"/>
          <w:sz w:val="24"/>
          <w:szCs w:val="24"/>
          <w:lang w:val="en-US" w:eastAsia="zh-CN"/>
          <w14:textFill>
            <w14:solidFill>
              <w14:schemeClr w14:val="accent2"/>
            </w14:solidFill>
          </w14:textFill>
        </w:rPr>
        <w:t>中国中化控股有限责任公司</w:t>
      </w:r>
      <w:r>
        <w:rPr>
          <w:rFonts w:hint="eastAsia" w:ascii="华文楷体" w:hAnsi="华文楷体" w:eastAsia="华文楷体" w:cs="华文楷体"/>
          <w:sz w:val="24"/>
          <w:szCs w:val="24"/>
          <w:lang w:val="en-US" w:eastAsia="zh-CN"/>
        </w:rPr>
        <w:t>是国务院国资委监管的国有重要骨干企业，</w:t>
      </w:r>
      <w:r>
        <w:rPr>
          <w:rFonts w:hint="eastAsia" w:ascii="华文楷体" w:hAnsi="华文楷体" w:eastAsia="华文楷体" w:cs="华文楷体"/>
          <w:sz w:val="24"/>
          <w:szCs w:val="24"/>
        </w:rPr>
        <w:t>在202</w:t>
      </w:r>
      <w:r>
        <w:rPr>
          <w:rFonts w:hint="eastAsia" w:ascii="华文楷体" w:hAnsi="华文楷体" w:eastAsia="华文楷体" w:cs="华文楷体"/>
          <w:sz w:val="24"/>
          <w:szCs w:val="24"/>
          <w:lang w:val="en-US" w:eastAsia="zh-CN"/>
        </w:rPr>
        <w:t>3</w:t>
      </w:r>
      <w:r>
        <w:rPr>
          <w:rFonts w:hint="eastAsia" w:ascii="华文楷体" w:hAnsi="华文楷体" w:eastAsia="华文楷体" w:cs="华文楷体"/>
          <w:sz w:val="24"/>
          <w:szCs w:val="24"/>
        </w:rPr>
        <w:t>年《财富》杂志公布的全球500强排名中，位列</w:t>
      </w:r>
      <w:r>
        <w:rPr>
          <w:rFonts w:hint="eastAsia" w:ascii="华文楷体" w:hAnsi="华文楷体" w:eastAsia="华文楷体" w:cs="华文楷体"/>
          <w:sz w:val="24"/>
          <w:szCs w:val="24"/>
          <w:lang w:val="en-US" w:eastAsia="zh-CN"/>
        </w:rPr>
        <w:t>38</w:t>
      </w:r>
      <w:r>
        <w:rPr>
          <w:rFonts w:hint="eastAsia" w:ascii="华文楷体" w:hAnsi="华文楷体" w:eastAsia="华文楷体" w:cs="华文楷体"/>
          <w:sz w:val="24"/>
          <w:szCs w:val="24"/>
        </w:rPr>
        <w:t>位。
</w:t>
      </w:r>
    </w:p>
    <w:p>
      <w:pPr>
        <w:widowControl w:val="0"/>
        <w:numPr>
          <w:ilvl w:val="0"/>
          <w:numId w:val="0"/>
        </w:numPr>
        <w:spacing w:line="360" w:lineRule="auto"/>
        <w:jc w:val="both"/>
        <w:rPr>
          <w:rFonts w:hint="eastAsia" w:ascii="华文楷体" w:hAnsi="华文楷体" w:eastAsia="华文楷体" w:cs="华文楷体"/>
          <w:sz w:val="24"/>
          <w:szCs w:val="24"/>
          <w:lang w:val="en-US" w:eastAsia="zh-CN"/>
        </w:rPr>
      </w:pPr>
      <w:r>
        <w:rPr>
          <w:rFonts w:hint="eastAsia" w:ascii="华文楷体" w:hAnsi="华文楷体" w:eastAsia="华文楷体" w:cs="华文楷体"/>
          <w:b/>
          <w:bCs/>
          <w:color w:val="EE822F" w:themeColor="accent2"/>
          <w:sz w:val="24"/>
          <w:szCs w:val="24"/>
          <w:lang w:val="en-US" w:eastAsia="zh-CN"/>
          <w14:textFill>
            <w14:solidFill>
              <w14:schemeClr w14:val="accent2"/>
            </w14:solidFill>
          </w14:textFill>
        </w:rPr>
        <w:t>中国金茂控股集团有限公司</w:t>
      </w:r>
      <w:r>
        <w:rPr>
          <w:rFonts w:hint="eastAsia" w:ascii="华文楷体" w:hAnsi="华文楷体" w:eastAsia="华文楷体" w:cs="华文楷体"/>
          <w:sz w:val="24"/>
          <w:szCs w:val="24"/>
          <w:lang w:val="en-US" w:eastAsia="zh-CN"/>
        </w:rPr>
        <w:t>是中国中化控股有限责任公司旗下城市运营领域的平台企业。</w:t>
      </w:r>
    </w:p>
    <w:p>
      <w:pPr>
        <w:widowControl w:val="0"/>
        <w:numPr>
          <w:ilvl w:val="0"/>
          <w:numId w:val="0"/>
        </w:numPr>
        <w:spacing w:line="360" w:lineRule="auto"/>
        <w:jc w:val="both"/>
        <w:rPr>
          <w:rFonts w:hint="eastAsia" w:ascii="华文楷体" w:hAnsi="华文楷体" w:eastAsia="华文楷体" w:cs="华文楷体"/>
          <w:sz w:val="24"/>
          <w:szCs w:val="24"/>
          <w:lang w:val="en-US" w:eastAsia="zh-CN"/>
        </w:rPr>
      </w:pPr>
      <w:r>
        <w:rPr>
          <w:rFonts w:hint="eastAsia" w:ascii="华文楷体" w:hAnsi="华文楷体" w:eastAsia="华文楷体" w:cs="华文楷体"/>
          <w:b/>
          <w:bCs/>
          <w:color w:val="EE822F" w:themeColor="accent2"/>
          <w:sz w:val="24"/>
          <w:szCs w:val="24"/>
          <w:lang w:val="en-US" w:eastAsia="zh-CN"/>
          <w14:textFill>
            <w14:solidFill>
              <w14:schemeClr w14:val="accent2"/>
            </w14:solidFill>
          </w14:textFill>
        </w:rPr>
        <w:t>金茂物业服务发展股份有限公司（以下简称“金茂服务”），</w:t>
      </w:r>
      <w:r>
        <w:rPr>
          <w:rFonts w:hint="eastAsia" w:ascii="华文楷体" w:hAnsi="华文楷体" w:eastAsia="华文楷体" w:cs="华文楷体"/>
          <w:sz w:val="24"/>
          <w:szCs w:val="24"/>
          <w:lang w:val="en-US" w:eastAsia="zh-CN"/>
        </w:rPr>
        <w:t xml:space="preserve">2022年3月在香港联交所主板上市（股票代码：00816.HK)，背靠全球500强企业中国中化控股有限责任公司旗下城市运营平台中国金茂控股集团有限公司，是中国增长迅速的高端物业管理及城市运营服务提供商，管理多元化的物业组合，涵盖住宅物 业及非住宅服务。依托领先的品牌声誉、深广的资源优势、丰厚的服务经验以及全面的技术能力，金茂服务持续为不同类型的客户提供品质如一、价值致远的物业管理服务、非业主增值服务以及社区增值服务。 </w:t>
      </w:r>
    </w:p>
    <w:p>
      <w:pPr>
        <w:widowControl w:val="0"/>
        <w:numPr>
          <w:ilvl w:val="0"/>
          <w:numId w:val="0"/>
        </w:numPr>
        <w:spacing w:line="360" w:lineRule="auto"/>
        <w:jc w:val="both"/>
        <w:rPr>
          <w:rFonts w:hint="eastAsia" w:ascii="华文楷体" w:hAnsi="华文楷体" w:eastAsia="华文楷体" w:cs="华文楷体"/>
          <w:sz w:val="24"/>
          <w:szCs w:val="24"/>
          <w:lang w:val="en-US" w:eastAsia="zh-CN"/>
        </w:rPr>
      </w:pPr>
      <w:r>
        <w:rPr>
          <w:rFonts w:hint="eastAsia" w:ascii="华文楷体" w:hAnsi="华文楷体" w:eastAsia="华文楷体" w:cs="华文楷体"/>
          <w:sz w:val="24"/>
          <w:szCs w:val="24"/>
          <w:lang w:val="en-US" w:eastAsia="zh-CN"/>
        </w:rPr>
        <w:t>金茂服务荣获“2022年中国物业服务百强企业TOP15”、“2022物业上市公司领先企业发展速度TOP1”、“2022中国高端物业服务领先企业”、“2022中国物业服务百强服务质量领先企业”、“2022中国办公物业管 理优秀企业”、“2022中国智慧城市服务领先企业”荣誉。</w:t>
      </w:r>
    </w:p>
    <w:p>
      <w:pPr>
        <w:numPr>
          <w:ilvl w:val="0"/>
          <w:numId w:val="1"/>
        </w:numPr>
        <w:spacing w:line="360" w:lineRule="auto"/>
        <w:rPr>
          <w:rFonts w:hint="eastAsia" w:ascii="华文楷体" w:hAnsi="华文楷体" w:eastAsia="华文楷体" w:cs="华文楷体"/>
          <w:b/>
          <w:bCs/>
          <w:sz w:val="24"/>
          <w:szCs w:val="24"/>
          <w:lang w:val="en-US" w:eastAsia="zh-CN"/>
        </w:rPr>
      </w:pPr>
      <w:r>
        <w:rPr>
          <w:rFonts w:hint="eastAsia" w:ascii="华文楷体" w:hAnsi="华文楷体" w:eastAsia="华文楷体" w:cs="华文楷体"/>
          <w:b/>
          <w:bCs/>
          <w:sz w:val="24"/>
          <w:szCs w:val="24"/>
          <w:lang w:val="en-US" w:eastAsia="zh-CN"/>
        </w:rPr>
        <w:t>项目介绍</w:t>
      </w:r>
    </w:p>
    <w:p>
      <w:pPr>
        <w:widowControl w:val="0"/>
        <w:numPr>
          <w:ilvl w:val="0"/>
          <w:numId w:val="0"/>
        </w:numPr>
        <w:spacing w:line="360" w:lineRule="auto"/>
        <w:jc w:val="both"/>
        <w:rPr>
          <w:rFonts w:hint="eastAsia" w:ascii="华文楷体" w:hAnsi="华文楷体" w:eastAsia="华文楷体" w:cs="华文楷体"/>
          <w:sz w:val="24"/>
          <w:szCs w:val="24"/>
          <w:lang w:val="en-US" w:eastAsia="zh-CN"/>
        </w:rPr>
      </w:pPr>
      <w:r>
        <w:rPr>
          <w:rFonts w:hint="eastAsia" w:ascii="华文楷体" w:hAnsi="华文楷体" w:eastAsia="华文楷体" w:cs="华文楷体"/>
          <w:b/>
          <w:bCs/>
          <w:color w:val="EE822F" w:themeColor="accent2"/>
          <w:sz w:val="24"/>
          <w:szCs w:val="24"/>
          <w:lang w:val="en-US" w:eastAsia="zh-CN"/>
          <w14:textFill>
            <w14:solidFill>
              <w14:schemeClr w14:val="accent2"/>
            </w14:solidFill>
          </w14:textFill>
        </w:rPr>
        <w:t>向阳生</w:t>
      </w:r>
      <w:r>
        <w:rPr>
          <w:rFonts w:hint="eastAsia" w:ascii="华文楷体" w:hAnsi="华文楷体" w:eastAsia="华文楷体" w:cs="华文楷体"/>
          <w:sz w:val="24"/>
          <w:szCs w:val="24"/>
          <w:lang w:val="en-US" w:eastAsia="zh-CN"/>
        </w:rPr>
        <w:t>是金茂服务针对物业管理及城市运营服务领域招聘的管理培训生，旨在储备和培养一批具备高端视野、素质过硬、发展潜力良好的</w:t>
      </w:r>
      <w:r>
        <w:rPr>
          <w:rFonts w:hint="eastAsia" w:ascii="华文楷体" w:hAnsi="华文楷体" w:eastAsia="华文楷体" w:cs="华文楷体"/>
          <w:b/>
          <w:bCs/>
          <w:color w:val="EE822F" w:themeColor="accent2"/>
          <w:sz w:val="24"/>
          <w:szCs w:val="24"/>
          <w:lang w:val="en-US" w:eastAsia="zh-CN"/>
          <w14:textFill>
            <w14:solidFill>
              <w14:schemeClr w14:val="accent2"/>
            </w14:solidFill>
          </w14:textFill>
        </w:rPr>
        <w:t>综合管理人才</w:t>
      </w:r>
      <w:r>
        <w:rPr>
          <w:rFonts w:hint="eastAsia" w:ascii="华文楷体" w:hAnsi="华文楷体" w:eastAsia="华文楷体" w:cs="华文楷体"/>
          <w:sz w:val="24"/>
          <w:szCs w:val="24"/>
          <w:lang w:val="en-US" w:eastAsia="zh-CN"/>
        </w:rPr>
        <w:t>。</w:t>
      </w:r>
    </w:p>
    <w:p>
      <w:pPr>
        <w:widowControl w:val="0"/>
        <w:numPr>
          <w:ilvl w:val="0"/>
          <w:numId w:val="0"/>
        </w:numPr>
        <w:spacing w:line="360" w:lineRule="auto"/>
        <w:jc w:val="both"/>
        <w:rPr>
          <w:rFonts w:hint="eastAsia" w:ascii="华文楷体" w:hAnsi="华文楷体" w:eastAsia="华文楷体" w:cs="华文楷体"/>
          <w:sz w:val="24"/>
          <w:szCs w:val="24"/>
          <w:lang w:val="en-US" w:eastAsia="zh-CN"/>
        </w:rPr>
      </w:pPr>
      <w:r>
        <w:rPr>
          <w:rFonts w:hint="eastAsia" w:ascii="华文楷体" w:hAnsi="华文楷体" w:eastAsia="华文楷体" w:cs="华文楷体"/>
          <w:sz w:val="24"/>
          <w:szCs w:val="24"/>
          <w:lang w:val="en-US" w:eastAsia="zh-CN"/>
        </w:rPr>
        <w:drawing>
          <wp:anchor distT="0" distB="0" distL="114300" distR="114300" simplePos="0" relativeHeight="251659264" behindDoc="0" locked="0" layoutInCell="1" allowOverlap="1">
            <wp:simplePos x="0" y="0"/>
            <wp:positionH relativeFrom="column">
              <wp:posOffset>481965</wp:posOffset>
            </wp:positionH>
            <wp:positionV relativeFrom="paragraph">
              <wp:posOffset>66040</wp:posOffset>
            </wp:positionV>
            <wp:extent cx="3420110" cy="1913890"/>
            <wp:effectExtent l="0" t="0" r="8890" b="0"/>
            <wp:wrapTopAndBottom/>
            <wp:docPr id="2" name="图片 2"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片1"/>
                    <pic:cNvPicPr>
                      <a:picLocks noChangeAspect="1"/>
                    </pic:cNvPicPr>
                  </pic:nvPicPr>
                  <pic:blipFill>
                    <a:blip r:embed="rId6"/>
                    <a:stretch>
                      <a:fillRect/>
                    </a:stretch>
                  </pic:blipFill>
                  <pic:spPr>
                    <a:xfrm>
                      <a:off x="0" y="0"/>
                      <a:ext cx="3420110" cy="1913890"/>
                    </a:xfrm>
                    <a:prstGeom prst="rect">
                      <a:avLst/>
                    </a:prstGeom>
                  </pic:spPr>
                </pic:pic>
              </a:graphicData>
            </a:graphic>
          </wp:anchor>
        </w:drawing>
      </w:r>
    </w:p>
    <w:p>
      <w:pPr>
        <w:numPr>
          <w:ilvl w:val="0"/>
          <w:numId w:val="1"/>
        </w:numPr>
        <w:spacing w:line="360" w:lineRule="auto"/>
        <w:rPr>
          <w:rFonts w:hint="eastAsia" w:ascii="华文楷体" w:hAnsi="华文楷体" w:eastAsia="华文楷体" w:cs="华文楷体"/>
          <w:b/>
          <w:bCs/>
          <w:sz w:val="24"/>
          <w:szCs w:val="24"/>
          <w:lang w:val="en-US" w:eastAsia="zh-CN"/>
        </w:rPr>
      </w:pPr>
      <w:r>
        <w:rPr>
          <w:rFonts w:hint="eastAsia" w:ascii="华文楷体" w:hAnsi="华文楷体" w:eastAsia="华文楷体" w:cs="华文楷体"/>
          <w:b/>
          <w:bCs/>
          <w:sz w:val="24"/>
          <w:szCs w:val="24"/>
          <w:lang w:val="en-US" w:eastAsia="zh-CN"/>
        </w:rPr>
        <w:t>招聘对象</w:t>
      </w:r>
    </w:p>
    <w:p>
      <w:pPr>
        <w:spacing w:line="360" w:lineRule="auto"/>
        <w:jc w:val="left"/>
        <w:rPr>
          <w:rFonts w:hint="eastAsia" w:ascii="华文楷体" w:hAnsi="华文楷体" w:eastAsia="华文楷体" w:cs="华文楷体"/>
          <w:sz w:val="24"/>
          <w:szCs w:val="24"/>
        </w:rPr>
      </w:pPr>
      <w:r>
        <w:rPr>
          <w:rFonts w:hint="eastAsia" w:ascii="华文楷体" w:hAnsi="华文楷体" w:eastAsia="华文楷体" w:cs="华文楷体"/>
          <w:sz w:val="24"/>
          <w:szCs w:val="24"/>
        </w:rPr>
        <w:t>毕业时间为202</w:t>
      </w:r>
      <w:r>
        <w:rPr>
          <w:rFonts w:hint="eastAsia" w:ascii="华文楷体" w:hAnsi="华文楷体" w:eastAsia="华文楷体" w:cs="华文楷体"/>
          <w:sz w:val="24"/>
          <w:szCs w:val="24"/>
          <w:lang w:val="en-US" w:eastAsia="zh-CN"/>
        </w:rPr>
        <w:t>3</w:t>
      </w:r>
      <w:r>
        <w:rPr>
          <w:rFonts w:hint="eastAsia" w:ascii="华文楷体" w:hAnsi="华文楷体" w:eastAsia="华文楷体" w:cs="华文楷体"/>
          <w:sz w:val="24"/>
          <w:szCs w:val="24"/>
        </w:rPr>
        <w:t>年9月1</w:t>
      </w:r>
      <w:r>
        <w:rPr>
          <w:rFonts w:hint="eastAsia" w:ascii="华文楷体" w:hAnsi="华文楷体" w:eastAsia="华文楷体" w:cs="华文楷体"/>
          <w:sz w:val="24"/>
          <w:szCs w:val="24"/>
          <w:lang w:val="en-US" w:eastAsia="zh-CN"/>
        </w:rPr>
        <w:t>日——</w:t>
      </w:r>
      <w:r>
        <w:rPr>
          <w:rFonts w:hint="eastAsia" w:ascii="华文楷体" w:hAnsi="华文楷体" w:eastAsia="华文楷体" w:cs="华文楷体"/>
          <w:sz w:val="24"/>
          <w:szCs w:val="24"/>
        </w:rPr>
        <w:t>202</w:t>
      </w:r>
      <w:r>
        <w:rPr>
          <w:rFonts w:hint="eastAsia" w:ascii="华文楷体" w:hAnsi="华文楷体" w:eastAsia="华文楷体" w:cs="华文楷体"/>
          <w:sz w:val="24"/>
          <w:szCs w:val="24"/>
          <w:lang w:val="en-US" w:eastAsia="zh-CN"/>
        </w:rPr>
        <w:t>4</w:t>
      </w:r>
      <w:r>
        <w:rPr>
          <w:rFonts w:hint="eastAsia" w:ascii="华文楷体" w:hAnsi="华文楷体" w:eastAsia="华文楷体" w:cs="华文楷体"/>
          <w:sz w:val="24"/>
          <w:szCs w:val="24"/>
        </w:rPr>
        <w:t>年8月31日的优秀应届</w:t>
      </w:r>
      <w:r>
        <w:rPr>
          <w:rFonts w:hint="eastAsia" w:ascii="华文楷体" w:hAnsi="华文楷体" w:eastAsia="华文楷体" w:cs="华文楷体"/>
          <w:sz w:val="24"/>
          <w:szCs w:val="24"/>
          <w:lang w:val="en-US" w:eastAsia="zh-CN"/>
        </w:rPr>
        <w:t>毕业</w:t>
      </w:r>
      <w:r>
        <w:rPr>
          <w:rFonts w:hint="eastAsia" w:ascii="华文楷体" w:hAnsi="华文楷体" w:eastAsia="华文楷体" w:cs="华文楷体"/>
          <w:sz w:val="24"/>
          <w:szCs w:val="24"/>
        </w:rPr>
        <w:t>生</w:t>
      </w:r>
    </w:p>
    <w:p>
      <w:pPr>
        <w:spacing w:line="360" w:lineRule="auto"/>
        <w:jc w:val="left"/>
        <w:rPr>
          <w:rFonts w:hint="eastAsia" w:ascii="华文楷体" w:hAnsi="华文楷体" w:eastAsia="华文楷体" w:cs="华文楷体"/>
          <w:sz w:val="24"/>
          <w:szCs w:val="24"/>
          <w:lang w:val="en-US" w:eastAsia="zh-CN"/>
        </w:rPr>
      </w:pPr>
      <w:r>
        <w:rPr>
          <w:rFonts w:hint="eastAsia" w:ascii="华文楷体" w:hAnsi="华文楷体" w:eastAsia="华文楷体" w:cs="华文楷体"/>
          <w:sz w:val="24"/>
          <w:szCs w:val="24"/>
        </w:rPr>
        <w:t>【中国大陆（内地）以毕业证为准，中国港澳台及海外地区以学位</w:t>
      </w:r>
      <w:r>
        <w:rPr>
          <w:rFonts w:hint="eastAsia" w:ascii="华文楷体" w:hAnsi="华文楷体" w:eastAsia="华文楷体" w:cs="华文楷体"/>
          <w:sz w:val="24"/>
          <w:szCs w:val="24"/>
          <w:lang w:val="en-US" w:eastAsia="zh-CN"/>
        </w:rPr>
        <w:t>认证</w:t>
      </w:r>
      <w:r>
        <w:rPr>
          <w:rFonts w:hint="eastAsia" w:ascii="华文楷体" w:hAnsi="华文楷体" w:eastAsia="华文楷体" w:cs="华文楷体"/>
          <w:sz w:val="24"/>
          <w:szCs w:val="24"/>
        </w:rPr>
        <w:t>为准】
</w:t>
      </w:r>
    </w:p>
    <w:p>
      <w:pPr>
        <w:numPr>
          <w:ilvl w:val="0"/>
          <w:numId w:val="1"/>
        </w:numPr>
        <w:spacing w:line="360" w:lineRule="auto"/>
        <w:rPr>
          <w:rFonts w:hint="eastAsia" w:ascii="华文楷体" w:hAnsi="华文楷体" w:eastAsia="华文楷体" w:cs="华文楷体"/>
          <w:b/>
          <w:bCs/>
          <w:sz w:val="24"/>
          <w:szCs w:val="24"/>
          <w:lang w:val="en-US" w:eastAsia="zh-CN"/>
        </w:rPr>
      </w:pPr>
      <w:r>
        <w:rPr>
          <w:rFonts w:hint="eastAsia" w:ascii="华文楷体" w:hAnsi="华文楷体" w:eastAsia="华文楷体" w:cs="华文楷体"/>
          <w:b/>
          <w:bCs/>
          <w:sz w:val="24"/>
          <w:szCs w:val="24"/>
          <w:lang w:val="en-US" w:eastAsia="zh-CN"/>
        </w:rPr>
        <w:t>招聘岗位</w:t>
      </w:r>
    </w:p>
    <w:tbl>
      <w:tblPr>
        <w:tblStyle w:val="5"/>
        <w:tblW w:w="89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65"/>
        <w:gridCol w:w="1197"/>
        <w:gridCol w:w="4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7" w:hRule="atLeast"/>
        </w:trPr>
        <w:tc>
          <w:tcPr>
            <w:tcW w:w="3365" w:type="dxa"/>
            <w:vAlign w:val="center"/>
          </w:tcPr>
          <w:p>
            <w:pPr>
              <w:widowControl w:val="0"/>
              <w:numPr>
                <w:ilvl w:val="0"/>
                <w:numId w:val="0"/>
              </w:numPr>
              <w:spacing w:line="360" w:lineRule="auto"/>
              <w:jc w:val="center"/>
              <w:rPr>
                <w:rFonts w:hint="default" w:ascii="华文楷体" w:hAnsi="华文楷体" w:eastAsia="华文楷体" w:cs="华文楷体"/>
                <w:sz w:val="24"/>
                <w:szCs w:val="24"/>
                <w:vertAlign w:val="baseline"/>
                <w:lang w:val="en-US" w:eastAsia="zh-CN"/>
              </w:rPr>
            </w:pPr>
            <w:r>
              <w:rPr>
                <w:rFonts w:hint="eastAsia" w:ascii="华文楷体" w:hAnsi="华文楷体" w:eastAsia="华文楷体" w:cs="华文楷体"/>
                <w:sz w:val="24"/>
                <w:szCs w:val="24"/>
                <w:vertAlign w:val="baseline"/>
                <w:lang w:val="en-US" w:eastAsia="zh-CN"/>
              </w:rPr>
              <w:t>岗位</w:t>
            </w:r>
          </w:p>
        </w:tc>
        <w:tc>
          <w:tcPr>
            <w:tcW w:w="1197" w:type="dxa"/>
            <w:vAlign w:val="center"/>
          </w:tcPr>
          <w:p>
            <w:pPr>
              <w:widowControl w:val="0"/>
              <w:numPr>
                <w:ilvl w:val="0"/>
                <w:numId w:val="0"/>
              </w:numPr>
              <w:spacing w:line="360" w:lineRule="auto"/>
              <w:jc w:val="center"/>
              <w:rPr>
                <w:rFonts w:hint="default" w:ascii="华文楷体" w:hAnsi="华文楷体" w:eastAsia="华文楷体" w:cs="华文楷体"/>
                <w:sz w:val="24"/>
                <w:szCs w:val="24"/>
                <w:vertAlign w:val="baseline"/>
                <w:lang w:val="en-US" w:eastAsia="zh-CN"/>
              </w:rPr>
            </w:pPr>
            <w:r>
              <w:rPr>
                <w:rFonts w:hint="eastAsia" w:ascii="华文楷体" w:hAnsi="华文楷体" w:eastAsia="华文楷体" w:cs="华文楷体"/>
                <w:sz w:val="24"/>
                <w:szCs w:val="24"/>
                <w:vertAlign w:val="baseline"/>
                <w:lang w:val="en-US" w:eastAsia="zh-CN"/>
              </w:rPr>
              <w:t>招聘数量</w:t>
            </w:r>
          </w:p>
        </w:tc>
        <w:tc>
          <w:tcPr>
            <w:tcW w:w="4417" w:type="dxa"/>
            <w:vAlign w:val="center"/>
          </w:tcPr>
          <w:p>
            <w:pPr>
              <w:widowControl w:val="0"/>
              <w:numPr>
                <w:ilvl w:val="0"/>
                <w:numId w:val="0"/>
              </w:numPr>
              <w:spacing w:line="360" w:lineRule="auto"/>
              <w:jc w:val="center"/>
              <w:rPr>
                <w:rFonts w:hint="default" w:ascii="华文楷体" w:hAnsi="华文楷体" w:eastAsia="华文楷体" w:cs="华文楷体"/>
                <w:sz w:val="24"/>
                <w:szCs w:val="24"/>
                <w:vertAlign w:val="baseline"/>
                <w:lang w:val="en-US" w:eastAsia="zh-CN"/>
              </w:rPr>
            </w:pPr>
            <w:r>
              <w:rPr>
                <w:rFonts w:hint="eastAsia" w:ascii="华文楷体" w:hAnsi="华文楷体" w:eastAsia="华文楷体" w:cs="华文楷体"/>
                <w:sz w:val="24"/>
                <w:szCs w:val="24"/>
                <w:vertAlign w:val="baseline"/>
                <w:lang w:val="en-US" w:eastAsia="zh-CN"/>
              </w:rPr>
              <w:t>工作地点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3365" w:type="dxa"/>
            <w:vAlign w:val="center"/>
          </w:tcPr>
          <w:p>
            <w:pPr>
              <w:widowControl w:val="0"/>
              <w:numPr>
                <w:ilvl w:val="0"/>
                <w:numId w:val="0"/>
              </w:numPr>
              <w:spacing w:line="360" w:lineRule="auto"/>
              <w:jc w:val="center"/>
              <w:rPr>
                <w:rFonts w:hint="default" w:ascii="华文楷体" w:hAnsi="华文楷体" w:eastAsia="华文楷体" w:cs="华文楷体"/>
                <w:sz w:val="24"/>
                <w:szCs w:val="24"/>
                <w:vertAlign w:val="baseline"/>
                <w:lang w:val="en-US" w:eastAsia="zh-CN"/>
              </w:rPr>
            </w:pPr>
            <w:r>
              <w:rPr>
                <w:rFonts w:hint="eastAsia" w:ascii="华文楷体" w:hAnsi="华文楷体" w:eastAsia="华文楷体" w:cs="华文楷体"/>
                <w:sz w:val="24"/>
                <w:szCs w:val="24"/>
                <w:vertAlign w:val="baseline"/>
                <w:lang w:val="en-US" w:eastAsia="zh-CN"/>
              </w:rPr>
              <w:t>管理培训生（职能类）</w:t>
            </w:r>
          </w:p>
        </w:tc>
        <w:tc>
          <w:tcPr>
            <w:tcW w:w="1197" w:type="dxa"/>
            <w:vAlign w:val="center"/>
          </w:tcPr>
          <w:p>
            <w:pPr>
              <w:widowControl w:val="0"/>
              <w:numPr>
                <w:ilvl w:val="0"/>
                <w:numId w:val="0"/>
              </w:numPr>
              <w:spacing w:line="360" w:lineRule="auto"/>
              <w:jc w:val="center"/>
              <w:rPr>
                <w:rFonts w:hint="default" w:ascii="华文楷体" w:hAnsi="华文楷体" w:eastAsia="华文楷体" w:cs="华文楷体"/>
                <w:sz w:val="24"/>
                <w:szCs w:val="24"/>
                <w:vertAlign w:val="baseline"/>
                <w:lang w:val="en-US" w:eastAsia="zh-CN"/>
              </w:rPr>
            </w:pPr>
            <w:r>
              <w:rPr>
                <w:rFonts w:hint="eastAsia" w:ascii="华文楷体" w:hAnsi="华文楷体" w:eastAsia="华文楷体" w:cs="华文楷体"/>
                <w:sz w:val="24"/>
                <w:szCs w:val="24"/>
                <w:vertAlign w:val="baseline"/>
                <w:lang w:val="en-US" w:eastAsia="zh-CN"/>
              </w:rPr>
              <w:t>5-10人</w:t>
            </w:r>
          </w:p>
        </w:tc>
        <w:tc>
          <w:tcPr>
            <w:tcW w:w="4417" w:type="dxa"/>
            <w:vMerge w:val="restart"/>
            <w:vAlign w:val="center"/>
          </w:tcPr>
          <w:p>
            <w:pPr>
              <w:widowControl w:val="0"/>
              <w:numPr>
                <w:ilvl w:val="0"/>
                <w:numId w:val="0"/>
              </w:numPr>
              <w:spacing w:line="360" w:lineRule="auto"/>
              <w:jc w:val="center"/>
              <w:rPr>
                <w:rFonts w:hint="default" w:ascii="华文楷体" w:hAnsi="华文楷体" w:eastAsia="华文楷体" w:cs="华文楷体"/>
                <w:sz w:val="24"/>
                <w:szCs w:val="24"/>
                <w:vertAlign w:val="baseline"/>
                <w:lang w:val="en-US" w:eastAsia="zh-CN"/>
              </w:rPr>
            </w:pPr>
            <w:r>
              <w:rPr>
                <w:rFonts w:hint="eastAsia" w:ascii="华文楷体" w:hAnsi="华文楷体" w:eastAsia="华文楷体" w:cs="华文楷体"/>
                <w:sz w:val="24"/>
                <w:szCs w:val="24"/>
                <w:vertAlign w:val="baseline"/>
                <w:lang w:val="en-US" w:eastAsia="zh-CN"/>
              </w:rPr>
              <w:t>北京/上海/长沙/广州/重庆/南京/青岛/成都等一二线重点城市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3365" w:type="dxa"/>
            <w:vAlign w:val="center"/>
          </w:tcPr>
          <w:p>
            <w:pPr>
              <w:widowControl w:val="0"/>
              <w:numPr>
                <w:ilvl w:val="0"/>
                <w:numId w:val="0"/>
              </w:numPr>
              <w:spacing w:line="360" w:lineRule="auto"/>
              <w:jc w:val="center"/>
              <w:rPr>
                <w:rFonts w:hint="eastAsia" w:ascii="华文楷体" w:hAnsi="华文楷体" w:eastAsia="华文楷体" w:cs="华文楷体"/>
                <w:sz w:val="24"/>
                <w:szCs w:val="24"/>
                <w:vertAlign w:val="baseline"/>
                <w:lang w:val="en-US" w:eastAsia="zh-CN"/>
              </w:rPr>
            </w:pPr>
            <w:r>
              <w:rPr>
                <w:rFonts w:hint="eastAsia" w:ascii="华文楷体" w:hAnsi="华文楷体" w:eastAsia="华文楷体" w:cs="华文楷体"/>
                <w:sz w:val="24"/>
                <w:szCs w:val="24"/>
                <w:vertAlign w:val="baseline"/>
                <w:lang w:val="en-US" w:eastAsia="zh-CN"/>
              </w:rPr>
              <w:t>管理培训生（业务类）</w:t>
            </w:r>
          </w:p>
        </w:tc>
        <w:tc>
          <w:tcPr>
            <w:tcW w:w="1197" w:type="dxa"/>
            <w:vAlign w:val="center"/>
          </w:tcPr>
          <w:p>
            <w:pPr>
              <w:widowControl w:val="0"/>
              <w:numPr>
                <w:ilvl w:val="0"/>
                <w:numId w:val="0"/>
              </w:numPr>
              <w:spacing w:line="360" w:lineRule="auto"/>
              <w:jc w:val="center"/>
              <w:rPr>
                <w:rFonts w:hint="default" w:ascii="华文楷体" w:hAnsi="华文楷体" w:eastAsia="华文楷体" w:cs="华文楷体"/>
                <w:sz w:val="24"/>
                <w:szCs w:val="24"/>
                <w:vertAlign w:val="baseline"/>
                <w:lang w:val="en-US" w:eastAsia="zh-CN"/>
              </w:rPr>
            </w:pPr>
            <w:r>
              <w:rPr>
                <w:rFonts w:hint="eastAsia" w:ascii="华文楷体" w:hAnsi="华文楷体" w:eastAsia="华文楷体" w:cs="华文楷体"/>
                <w:sz w:val="24"/>
                <w:szCs w:val="24"/>
                <w:vertAlign w:val="baseline"/>
                <w:lang w:val="en-US" w:eastAsia="zh-CN"/>
              </w:rPr>
              <w:t>10-20人</w:t>
            </w:r>
          </w:p>
        </w:tc>
        <w:tc>
          <w:tcPr>
            <w:tcW w:w="4417" w:type="dxa"/>
            <w:vMerge w:val="continue"/>
            <w:vAlign w:val="center"/>
          </w:tcPr>
          <w:p>
            <w:pPr>
              <w:widowControl w:val="0"/>
              <w:numPr>
                <w:ilvl w:val="0"/>
                <w:numId w:val="0"/>
              </w:numPr>
              <w:spacing w:line="360" w:lineRule="auto"/>
              <w:jc w:val="center"/>
              <w:rPr>
                <w:rFonts w:hint="eastAsia" w:ascii="华文楷体" w:hAnsi="华文楷体" w:eastAsia="华文楷体" w:cs="华文楷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3365" w:type="dxa"/>
            <w:vAlign w:val="center"/>
          </w:tcPr>
          <w:p>
            <w:pPr>
              <w:widowControl w:val="0"/>
              <w:numPr>
                <w:ilvl w:val="0"/>
                <w:numId w:val="0"/>
              </w:numPr>
              <w:spacing w:line="360" w:lineRule="auto"/>
              <w:jc w:val="center"/>
              <w:rPr>
                <w:rFonts w:hint="eastAsia" w:ascii="华文楷体" w:hAnsi="华文楷体" w:eastAsia="华文楷体" w:cs="华文楷体"/>
                <w:sz w:val="24"/>
                <w:szCs w:val="24"/>
                <w:vertAlign w:val="baseline"/>
                <w:lang w:val="en-US" w:eastAsia="zh-CN"/>
              </w:rPr>
            </w:pPr>
            <w:r>
              <w:rPr>
                <w:rFonts w:hint="eastAsia" w:ascii="华文楷体" w:hAnsi="华文楷体" w:eastAsia="华文楷体" w:cs="华文楷体"/>
                <w:sz w:val="24"/>
                <w:szCs w:val="24"/>
                <w:vertAlign w:val="baseline"/>
                <w:lang w:val="en-US" w:eastAsia="zh-CN"/>
              </w:rPr>
              <w:t>管理培训生（市场类）</w:t>
            </w:r>
          </w:p>
        </w:tc>
        <w:tc>
          <w:tcPr>
            <w:tcW w:w="1197" w:type="dxa"/>
            <w:vAlign w:val="center"/>
          </w:tcPr>
          <w:p>
            <w:pPr>
              <w:widowControl w:val="0"/>
              <w:numPr>
                <w:ilvl w:val="0"/>
                <w:numId w:val="0"/>
              </w:numPr>
              <w:spacing w:line="360" w:lineRule="auto"/>
              <w:jc w:val="center"/>
              <w:rPr>
                <w:rFonts w:hint="default" w:ascii="华文楷体" w:hAnsi="华文楷体" w:eastAsia="华文楷体" w:cs="华文楷体"/>
                <w:sz w:val="24"/>
                <w:szCs w:val="24"/>
                <w:vertAlign w:val="baseline"/>
                <w:lang w:val="en-US" w:eastAsia="zh-CN"/>
              </w:rPr>
            </w:pPr>
            <w:r>
              <w:rPr>
                <w:rFonts w:hint="eastAsia" w:ascii="华文楷体" w:hAnsi="华文楷体" w:eastAsia="华文楷体" w:cs="华文楷体"/>
                <w:sz w:val="24"/>
                <w:szCs w:val="24"/>
                <w:vertAlign w:val="baseline"/>
                <w:lang w:val="en-US" w:eastAsia="zh-CN"/>
              </w:rPr>
              <w:t>10-20人</w:t>
            </w:r>
          </w:p>
        </w:tc>
        <w:tc>
          <w:tcPr>
            <w:tcW w:w="4417" w:type="dxa"/>
            <w:vMerge w:val="continue"/>
            <w:vAlign w:val="center"/>
          </w:tcPr>
          <w:p>
            <w:pPr>
              <w:widowControl w:val="0"/>
              <w:numPr>
                <w:ilvl w:val="0"/>
                <w:numId w:val="0"/>
              </w:numPr>
              <w:spacing w:line="360" w:lineRule="auto"/>
              <w:jc w:val="center"/>
              <w:rPr>
                <w:rFonts w:hint="eastAsia" w:ascii="华文楷体" w:hAnsi="华文楷体" w:eastAsia="华文楷体" w:cs="华文楷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979" w:type="dxa"/>
            <w:gridSpan w:val="3"/>
            <w:vAlign w:val="center"/>
          </w:tcPr>
          <w:p>
            <w:pPr>
              <w:widowControl w:val="0"/>
              <w:numPr>
                <w:ilvl w:val="0"/>
                <w:numId w:val="0"/>
              </w:numPr>
              <w:spacing w:line="360" w:lineRule="auto"/>
              <w:jc w:val="both"/>
              <w:rPr>
                <w:rFonts w:hint="eastAsia" w:ascii="华文楷体" w:hAnsi="华文楷体" w:eastAsia="华文楷体" w:cs="华文楷体"/>
                <w:sz w:val="24"/>
                <w:szCs w:val="24"/>
                <w:vertAlign w:val="baseline"/>
                <w:lang w:val="en-US" w:eastAsia="zh-CN"/>
              </w:rPr>
            </w:pPr>
            <w:r>
              <w:rPr>
                <w:rFonts w:hint="eastAsia" w:ascii="华文楷体" w:hAnsi="华文楷体" w:eastAsia="华文楷体" w:cs="华文楷体"/>
                <w:sz w:val="24"/>
                <w:szCs w:val="24"/>
                <w:vertAlign w:val="baseline"/>
                <w:lang w:val="en-US" w:eastAsia="zh-CN"/>
              </w:rPr>
              <w:t>招聘要求：</w:t>
            </w:r>
          </w:p>
          <w:p>
            <w:pPr>
              <w:widowControl w:val="0"/>
              <w:numPr>
                <w:ilvl w:val="0"/>
                <w:numId w:val="0"/>
              </w:numPr>
              <w:spacing w:line="360" w:lineRule="auto"/>
              <w:jc w:val="both"/>
              <w:rPr>
                <w:rFonts w:hint="default" w:ascii="华文楷体" w:hAnsi="华文楷体" w:eastAsia="华文楷体" w:cs="华文楷体"/>
                <w:sz w:val="24"/>
                <w:szCs w:val="24"/>
                <w:vertAlign w:val="baseline"/>
                <w:lang w:val="en-US" w:eastAsia="zh-CN"/>
              </w:rPr>
            </w:pPr>
            <w:r>
              <w:rPr>
                <w:rFonts w:hint="eastAsia" w:ascii="华文楷体" w:hAnsi="华文楷体" w:eastAsia="华文楷体" w:cs="华文楷体"/>
                <w:b/>
                <w:bCs/>
                <w:color w:val="EE822F" w:themeColor="accent2"/>
                <w:sz w:val="24"/>
                <w:szCs w:val="24"/>
                <w:vertAlign w:val="baseline"/>
                <w:lang w:val="en-US" w:eastAsia="zh-CN"/>
                <w14:textFill>
                  <w14:solidFill>
                    <w14:schemeClr w14:val="accent2"/>
                  </w14:solidFill>
                </w14:textFill>
              </w:rPr>
              <w:t>专业不限</w:t>
            </w:r>
            <w:r>
              <w:rPr>
                <w:rFonts w:hint="eastAsia" w:ascii="华文楷体" w:hAnsi="华文楷体" w:eastAsia="华文楷体" w:cs="华文楷体"/>
                <w:sz w:val="24"/>
                <w:szCs w:val="24"/>
                <w:vertAlign w:val="baseline"/>
                <w:lang w:val="en-US" w:eastAsia="zh-CN"/>
              </w:rPr>
              <w:t>，具备良好的沟通能力及学习转化能力，有较好的自驱力和发展意愿。</w:t>
            </w:r>
          </w:p>
        </w:tc>
      </w:tr>
    </w:tbl>
    <w:p>
      <w:pPr>
        <w:numPr>
          <w:ilvl w:val="0"/>
          <w:numId w:val="1"/>
        </w:numPr>
        <w:spacing w:line="360" w:lineRule="auto"/>
        <w:rPr>
          <w:rFonts w:hint="eastAsia" w:ascii="华文楷体" w:hAnsi="华文楷体" w:eastAsia="华文楷体" w:cs="华文楷体"/>
          <w:b/>
          <w:bCs/>
          <w:sz w:val="24"/>
          <w:szCs w:val="24"/>
          <w:lang w:val="en-US" w:eastAsia="zh-CN"/>
        </w:rPr>
      </w:pPr>
      <w:r>
        <w:rPr>
          <w:rFonts w:hint="eastAsia" w:ascii="华文楷体" w:hAnsi="华文楷体" w:eastAsia="华文楷体" w:cs="华文楷体"/>
          <w:b/>
          <w:bCs/>
          <w:sz w:val="24"/>
          <w:szCs w:val="24"/>
          <w:lang w:val="en-US" w:eastAsia="zh-CN"/>
        </w:rPr>
        <w:t>招聘流程</w:t>
      </w:r>
    </w:p>
    <w:p>
      <w:pPr>
        <w:widowControl w:val="0"/>
        <w:numPr>
          <w:ilvl w:val="0"/>
          <w:numId w:val="0"/>
        </w:numPr>
        <w:spacing w:line="360" w:lineRule="auto"/>
        <w:jc w:val="both"/>
        <w:rPr>
          <w:rFonts w:hint="default" w:ascii="华文楷体" w:hAnsi="华文楷体" w:eastAsia="华文楷体" w:cs="华文楷体"/>
          <w:sz w:val="24"/>
          <w:szCs w:val="24"/>
          <w:lang w:val="en-US" w:eastAsia="zh-CN"/>
        </w:rPr>
      </w:pPr>
      <w:r>
        <w:rPr>
          <w:rFonts w:hint="eastAsia" w:ascii="华文楷体" w:hAnsi="华文楷体" w:eastAsia="华文楷体" w:cs="华文楷体"/>
          <w:sz w:val="24"/>
          <w:szCs w:val="24"/>
          <w:lang w:val="en-US" w:eastAsia="zh-CN"/>
        </w:rPr>
        <w:t>小组初试</w:t>
      </w:r>
      <w:r>
        <w:rPr>
          <w:rFonts w:hint="eastAsia" w:ascii="华文楷体" w:hAnsi="华文楷体" w:eastAsia="华文楷体" w:cs="华文楷体"/>
          <w:b/>
          <w:bCs/>
          <w:color w:val="EE822F" w:themeColor="accent2"/>
          <w:sz w:val="24"/>
          <w:szCs w:val="24"/>
          <w:lang w:val="en-US" w:eastAsia="zh-CN"/>
          <w14:textFill>
            <w14:solidFill>
              <w14:schemeClr w14:val="accent2"/>
            </w14:solidFill>
          </w14:textFill>
        </w:rPr>
        <w:t>→</w:t>
      </w:r>
      <w:r>
        <w:rPr>
          <w:rFonts w:hint="eastAsia" w:ascii="华文楷体" w:hAnsi="华文楷体" w:eastAsia="华文楷体" w:cs="华文楷体"/>
          <w:sz w:val="24"/>
          <w:szCs w:val="24"/>
          <w:lang w:val="en-US" w:eastAsia="zh-CN"/>
        </w:rPr>
        <w:t>HR一对一复试</w:t>
      </w:r>
      <w:r>
        <w:rPr>
          <w:rFonts w:hint="eastAsia" w:ascii="华文楷体" w:hAnsi="华文楷体" w:eastAsia="华文楷体" w:cs="华文楷体"/>
          <w:b/>
          <w:bCs/>
          <w:color w:val="EE822F" w:themeColor="accent2"/>
          <w:sz w:val="24"/>
          <w:szCs w:val="24"/>
          <w:lang w:val="en-US" w:eastAsia="zh-CN"/>
          <w14:textFill>
            <w14:solidFill>
              <w14:schemeClr w14:val="accent2"/>
            </w14:solidFill>
          </w14:textFill>
        </w:rPr>
        <w:t>→</w:t>
      </w:r>
      <w:r>
        <w:rPr>
          <w:rFonts w:hint="eastAsia" w:ascii="华文楷体" w:hAnsi="华文楷体" w:eastAsia="华文楷体" w:cs="华文楷体"/>
          <w:sz w:val="24"/>
          <w:szCs w:val="24"/>
          <w:lang w:val="en-US" w:eastAsia="zh-CN"/>
        </w:rPr>
        <w:t>在线测评</w:t>
      </w:r>
      <w:r>
        <w:rPr>
          <w:rFonts w:hint="eastAsia" w:ascii="华文楷体" w:hAnsi="华文楷体" w:eastAsia="华文楷体" w:cs="华文楷体"/>
          <w:b/>
          <w:bCs/>
          <w:color w:val="EE822F" w:themeColor="accent2"/>
          <w:sz w:val="24"/>
          <w:szCs w:val="24"/>
          <w:lang w:val="en-US" w:eastAsia="zh-CN"/>
          <w14:textFill>
            <w14:solidFill>
              <w14:schemeClr w14:val="accent2"/>
            </w14:solidFill>
          </w14:textFill>
        </w:rPr>
        <w:t>→</w:t>
      </w:r>
      <w:r>
        <w:rPr>
          <w:rFonts w:hint="eastAsia" w:ascii="华文楷体" w:hAnsi="华文楷体" w:eastAsia="华文楷体" w:cs="华文楷体"/>
          <w:sz w:val="24"/>
          <w:szCs w:val="24"/>
          <w:lang w:val="en-US" w:eastAsia="zh-CN"/>
        </w:rPr>
        <w:t>高管终试</w:t>
      </w:r>
      <w:r>
        <w:rPr>
          <w:rFonts w:hint="eastAsia" w:ascii="华文楷体" w:hAnsi="华文楷体" w:eastAsia="华文楷体" w:cs="华文楷体"/>
          <w:b/>
          <w:bCs/>
          <w:color w:val="EE822F" w:themeColor="accent2"/>
          <w:sz w:val="24"/>
          <w:szCs w:val="24"/>
          <w:lang w:val="en-US" w:eastAsia="zh-CN"/>
          <w14:textFill>
            <w14:solidFill>
              <w14:schemeClr w14:val="accent2"/>
            </w14:solidFill>
          </w14:textFill>
        </w:rPr>
        <w:t>→</w:t>
      </w:r>
      <w:r>
        <w:rPr>
          <w:rFonts w:hint="eastAsia" w:ascii="华文楷体" w:hAnsi="华文楷体" w:eastAsia="华文楷体" w:cs="华文楷体"/>
          <w:b w:val="0"/>
          <w:bCs w:val="0"/>
          <w:color w:val="auto"/>
          <w:sz w:val="24"/>
          <w:szCs w:val="24"/>
          <w:lang w:val="en-US" w:eastAsia="zh-CN"/>
        </w:rPr>
        <w:t>offer发放</w:t>
      </w:r>
      <w:r>
        <w:rPr>
          <w:rFonts w:hint="eastAsia" w:ascii="华文楷体" w:hAnsi="华文楷体" w:eastAsia="华文楷体" w:cs="华文楷体"/>
          <w:b/>
          <w:bCs/>
          <w:color w:val="EE822F" w:themeColor="accent2"/>
          <w:sz w:val="24"/>
          <w:szCs w:val="24"/>
          <w:lang w:val="en-US" w:eastAsia="zh-CN"/>
          <w14:textFill>
            <w14:solidFill>
              <w14:schemeClr w14:val="accent2"/>
            </w14:solidFill>
          </w14:textFill>
        </w:rPr>
        <w:t>→</w:t>
      </w:r>
      <w:r>
        <w:rPr>
          <w:rFonts w:hint="eastAsia" w:ascii="华文楷体" w:hAnsi="华文楷体" w:eastAsia="华文楷体" w:cs="华文楷体"/>
          <w:b w:val="0"/>
          <w:bCs w:val="0"/>
          <w:color w:val="auto"/>
          <w:sz w:val="24"/>
          <w:szCs w:val="24"/>
          <w:lang w:val="en-US" w:eastAsia="zh-CN"/>
        </w:rPr>
        <w:t>实习体验</w:t>
      </w:r>
    </w:p>
    <w:p>
      <w:pPr>
        <w:numPr>
          <w:ilvl w:val="0"/>
          <w:numId w:val="1"/>
        </w:numPr>
        <w:spacing w:line="360" w:lineRule="auto"/>
        <w:rPr>
          <w:rFonts w:hint="eastAsia" w:ascii="华文楷体" w:hAnsi="华文楷体" w:eastAsia="华文楷体" w:cs="华文楷体"/>
          <w:b/>
          <w:bCs/>
          <w:sz w:val="24"/>
          <w:szCs w:val="24"/>
          <w:lang w:val="en-US" w:eastAsia="zh-CN"/>
        </w:rPr>
      </w:pPr>
      <w:r>
        <w:rPr>
          <w:rFonts w:hint="eastAsia" w:ascii="华文楷体" w:hAnsi="华文楷体" w:eastAsia="华文楷体" w:cs="华文楷体"/>
          <w:b/>
          <w:bCs/>
          <w:sz w:val="24"/>
          <w:szCs w:val="24"/>
          <w:lang w:val="en-US" w:eastAsia="zh-CN"/>
        </w:rPr>
        <w:t>投递方式</w:t>
      </w:r>
    </w:p>
    <w:p>
      <w:pPr>
        <w:widowControl w:val="0"/>
        <w:numPr>
          <w:ilvl w:val="0"/>
          <w:numId w:val="0"/>
        </w:numPr>
        <w:spacing w:line="360" w:lineRule="auto"/>
        <w:jc w:val="both"/>
        <w:rPr>
          <w:rFonts w:hint="eastAsia" w:ascii="华文楷体" w:hAnsi="华文楷体" w:eastAsia="华文楷体" w:cs="华文楷体"/>
          <w:sz w:val="24"/>
          <w:szCs w:val="24"/>
          <w:lang w:val="en-US" w:eastAsia="zh-CN"/>
        </w:rPr>
      </w:pPr>
      <w:r>
        <w:rPr>
          <w:rFonts w:hint="eastAsia" w:ascii="华文楷体" w:hAnsi="华文楷体" w:eastAsia="华文楷体" w:cs="华文楷体"/>
          <w:sz w:val="24"/>
          <w:szCs w:val="24"/>
          <w:lang w:val="en-US" w:eastAsia="zh-CN"/>
        </w:rPr>
        <w:t>1、网申链接：https://jinmaowy.hotjob.cn/</w:t>
      </w:r>
    </w:p>
    <w:p>
      <w:pPr>
        <w:widowControl w:val="0"/>
        <w:numPr>
          <w:ilvl w:val="0"/>
          <w:numId w:val="0"/>
        </w:numPr>
        <w:spacing w:line="360" w:lineRule="auto"/>
        <w:jc w:val="both"/>
        <w:rPr>
          <w:rFonts w:hint="eastAsia" w:ascii="华文楷体" w:hAnsi="华文楷体" w:eastAsia="华文楷体" w:cs="华文楷体"/>
          <w:sz w:val="24"/>
          <w:szCs w:val="24"/>
          <w:lang w:val="en-US" w:eastAsia="zh-CN"/>
        </w:rPr>
      </w:pPr>
      <w:r>
        <w:rPr>
          <w:rFonts w:hint="eastAsia" w:ascii="华文楷体" w:hAnsi="华文楷体" w:eastAsia="华文楷体" w:cs="华文楷体"/>
          <w:sz w:val="24"/>
          <w:szCs w:val="24"/>
          <w:lang w:val="en-US" w:eastAsia="zh-CN"/>
        </w:rPr>
        <w:t>2、</w:t>
      </w:r>
      <w:bookmarkStart w:id="0" w:name="_GoBack"/>
      <w:bookmarkEnd w:id="0"/>
      <w:r>
        <w:rPr>
          <w:rFonts w:hint="eastAsia" w:ascii="华文楷体" w:hAnsi="华文楷体" w:eastAsia="华文楷体" w:cs="华文楷体"/>
          <w:sz w:val="24"/>
          <w:szCs w:val="24"/>
          <w:lang w:val="en-US" w:eastAsia="zh-CN"/>
        </w:rPr>
        <w:t>扫描下方二维码投递：</w:t>
      </w:r>
    </w:p>
    <w:p>
      <w:pPr>
        <w:widowControl w:val="0"/>
        <w:numPr>
          <w:ilvl w:val="0"/>
          <w:numId w:val="0"/>
        </w:numPr>
        <w:spacing w:line="360" w:lineRule="auto"/>
        <w:jc w:val="both"/>
        <w:rPr>
          <w:rFonts w:hint="eastAsia" w:ascii="华文楷体" w:hAnsi="华文楷体" w:eastAsia="华文楷体" w:cs="华文楷体"/>
          <w:sz w:val="24"/>
          <w:szCs w:val="24"/>
          <w:lang w:val="en-US" w:eastAsia="zh-CN"/>
        </w:rPr>
      </w:pPr>
      <w:r>
        <w:rPr>
          <w:rFonts w:hint="eastAsia" w:ascii="华文楷体" w:hAnsi="华文楷体" w:eastAsia="华文楷体" w:cs="华文楷体"/>
          <w:sz w:val="24"/>
          <w:szCs w:val="24"/>
          <w:lang w:val="en-US" w:eastAsia="zh-CN"/>
        </w:rPr>
        <w:drawing>
          <wp:inline distT="0" distB="0" distL="114300" distR="114300">
            <wp:extent cx="1923415" cy="1923415"/>
            <wp:effectExtent l="0" t="0" r="12065" b="12065"/>
            <wp:docPr id="1" name="图片 1" descr="a93c7e7529e23d7e7d4c2f5dbdea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a93c7e7529e23d7e7d4c2f5dbdea801"/>
                    <pic:cNvPicPr>
                      <a:picLocks noChangeAspect="1"/>
                    </pic:cNvPicPr>
                  </pic:nvPicPr>
                  <pic:blipFill>
                    <a:blip r:embed="rId7"/>
                    <a:stretch>
                      <a:fillRect/>
                    </a:stretch>
                  </pic:blipFill>
                  <pic:spPr>
                    <a:xfrm>
                      <a:off x="0" y="0"/>
                      <a:ext cx="1923415" cy="1923415"/>
                    </a:xfrm>
                    <a:prstGeom prst="rect">
                      <a:avLst/>
                    </a:prstGeom>
                  </pic:spPr>
                </pic:pic>
              </a:graphicData>
            </a:graphic>
          </wp:inline>
        </w:drawing>
      </w:r>
    </w:p>
    <w:p>
      <w:pPr>
        <w:widowControl w:val="0"/>
        <w:numPr>
          <w:ilvl w:val="0"/>
          <w:numId w:val="0"/>
        </w:numPr>
        <w:spacing w:line="360" w:lineRule="auto"/>
        <w:jc w:val="both"/>
        <w:rPr>
          <w:rFonts w:hint="eastAsia" w:ascii="华文楷体" w:hAnsi="华文楷体" w:eastAsia="华文楷体" w:cs="华文楷体"/>
          <w:sz w:val="24"/>
          <w:szCs w:val="24"/>
          <w:lang w:val="en-US" w:eastAsia="zh-CN"/>
        </w:rPr>
      </w:pPr>
      <w:r>
        <w:rPr>
          <w:rFonts w:hint="eastAsia" w:ascii="华文楷体" w:hAnsi="华文楷体" w:eastAsia="华文楷体" w:cs="华文楷体"/>
          <w:sz w:val="24"/>
          <w:szCs w:val="24"/>
          <w:lang w:val="en-US" w:eastAsia="zh-CN"/>
        </w:rPr>
        <w:t xml:space="preserve">3、同步开启内推通道，找到你身边的金茂服务的学长学姐，获得他们的内推码，即可获得内推哟~ </w:t>
      </w:r>
    </w:p>
    <w:p>
      <w:pPr>
        <w:widowControl w:val="0"/>
        <w:numPr>
          <w:ilvl w:val="0"/>
          <w:numId w:val="0"/>
        </w:numPr>
        <w:spacing w:line="360" w:lineRule="auto"/>
        <w:jc w:val="both"/>
        <w:rPr>
          <w:rFonts w:hint="eastAsia" w:ascii="华文楷体" w:hAnsi="华文楷体" w:eastAsia="华文楷体" w:cs="华文楷体"/>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粗金陵简体">
    <w:panose1 w:val="02000000000000000000"/>
    <w:charset w:val="86"/>
    <w:family w:val="auto"/>
    <w:pitch w:val="default"/>
    <w:sig w:usb0="A00002BF" w:usb1="184F6CFA" w:usb2="00000012" w:usb3="00000000" w:csb0="00040001" w:csb1="00000000"/>
    <w:embedRegular r:id="rId1" w:fontKey="{4F2CAF9E-8B10-49E0-92B9-0EB11CE2FC36}"/>
  </w:font>
  <w:font w:name="华文楷体">
    <w:panose1 w:val="02010600040101010101"/>
    <w:charset w:val="86"/>
    <w:family w:val="auto"/>
    <w:pitch w:val="default"/>
    <w:sig w:usb0="00000287" w:usb1="080F0000" w:usb2="00000000" w:usb3="00000000" w:csb0="0004009F" w:csb1="DFD70000"/>
    <w:embedRegular r:id="rId2" w:fontKey="{237AA658-5CCE-4BAF-83DA-E7F0A96AD0F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CED6D12"/>
    <w:multiLevelType w:val="singleLevel"/>
    <w:tmpl w:val="DCED6D12"/>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Y0ZjE5NWViNzhiNGUxOTY2ZWE2MjljNzQxNjllYTEifQ=="/>
  </w:docVars>
  <w:rsids>
    <w:rsidRoot w:val="63782E01"/>
    <w:rsid w:val="0C553A04"/>
    <w:rsid w:val="1A076408"/>
    <w:rsid w:val="23663376"/>
    <w:rsid w:val="4FAA1D2A"/>
    <w:rsid w:val="63782E01"/>
    <w:rsid w:val="717A70A9"/>
    <w:rsid w:val="72935A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153</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2023-09-08T01:06:00Z</dcterms:created>
  <dc:creator>法力无边王大仙</dc:creator>
  <cp:lastModifiedBy>法力无边王大仙</cp:lastModifiedBy>
  <dcterms:modified xsi:type="dcterms:W3CDTF">2023-09-27T03:58:33Z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141803A2AE7C4A2CB0E8B6ADD4EAC5E0_11</vt:lpwstr>
  </property>
</Properties>
</file>