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楷体_GB2312"/>
          <w:color w:val="000000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小标宋简体"/>
          <w:bCs/>
          <w:color w:val="000000"/>
          <w:sz w:val="36"/>
          <w:szCs w:val="36"/>
        </w:rPr>
      </w:pPr>
    </w:p>
    <w:p>
      <w:pPr>
        <w:spacing w:line="560" w:lineRule="exact"/>
        <w:jc w:val="center"/>
        <w:rPr>
          <w:rFonts w:ascii="Times New Roman" w:hAnsi="Times New Roman" w:eastAsia="方正小标宋_GBK"/>
          <w:bCs/>
          <w:kern w:val="0"/>
          <w:sz w:val="44"/>
          <w:szCs w:val="44"/>
        </w:rPr>
      </w:pPr>
      <w:r>
        <w:rPr>
          <w:rFonts w:ascii="Times New Roman" w:hAnsi="Times New Roman" w:eastAsia="方正小标宋_GBK"/>
          <w:bCs/>
          <w:kern w:val="0"/>
          <w:sz w:val="44"/>
          <w:szCs w:val="44"/>
        </w:rPr>
        <w:t>急需紧缺专业目录</w:t>
      </w:r>
    </w:p>
    <w:tbl>
      <w:tblPr>
        <w:tblStyle w:val="2"/>
        <w:tblW w:w="95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337"/>
        <w:gridCol w:w="3908"/>
        <w:gridCol w:w="39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430" w:type="dxa"/>
            <w:tcBorders>
              <w:top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序号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专业大类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本科专业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000000"/>
                <w:szCs w:val="21"/>
              </w:rPr>
            </w:pPr>
            <w:r>
              <w:rPr>
                <w:rFonts w:ascii="Times New Roman" w:hAnsi="Times New Roman" w:eastAsia="黑体"/>
                <w:color w:val="000000"/>
                <w:szCs w:val="21"/>
              </w:rPr>
              <w:t>研究生专业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1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化工制药类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化学工程与工艺，制药工程，油气加工工程，化工与制药，化学工程与工业生物工程，能源化学工程，化学工程，化工管理，化工工艺，高分子化工，精细化工，生物化工，工业分析，电化学工程，工业催化，化学制药，生物制药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材料化学，化学，化学生物学，化学药物制备工艺学，环境化学，精细合成化学与分子工程，精细化工，精细化学品化学，制药化学，新能源材料，制药工程，制药工程与技术，制药与精细化工，化学工程，化学工艺，生物化工，应用化学，工业催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2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生物工程类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生物工程，食品科学与工程，食品质量与安全，生物医学工程，轻工生物技术，生物技术，生物科学与生物技术，生物化学与分子生物学，植物生物技术，动物生物技术，化学生物学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生物技术，生物工程，食品科学与工程，食品质量与安全，农产品质量与安全，粮食工程，乳品工程，食品安全与品控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3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经济金融类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经济学，国际经济与贸易，财政学，金融学，国民经济管理，贸易经济，金融工程，投资学，经济与行政管理，经济统计学，商务经济学，能源经济，金融数学，经济与金融，农村区域发展，金融管理</w:t>
            </w:r>
            <w:r>
              <w:rPr>
                <w:rFonts w:hint="eastAsia" w:ascii="Times New Roman" w:hAnsi="Times New Roman" w:eastAsia="楷体_GB2312"/>
                <w:szCs w:val="21"/>
              </w:rPr>
              <w:t>，</w:t>
            </w:r>
            <w:r>
              <w:rPr>
                <w:rFonts w:ascii="Times New Roman" w:hAnsi="Times New Roman" w:eastAsia="楷体_GB2312"/>
                <w:szCs w:val="21"/>
              </w:rPr>
              <w:t>国际贸易，金融，统计学，税收学，电子商务，工程造价，工程管理，财务管理，应用统计学，会计，会计学，互联网金融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政治经济学，世界经济，人口、资源与环境经济学，国民经济学，区域经济学，财政学（含税收学），金融学，产业经济学，国际贸易学，劳动经济学，统计学，应用统计，金融，金融管理，资产评估，国际贸易，农村与区域发展，国际商务，应用经济学，审计，工程管理，会计，会计学，金融学，会计与金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4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城建规划类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建筑学，城市规划，人文地理与城乡规划，城乡规划，资源环境与城乡规划管理，环境设计，土木工程，给排水科学与工程，道路桥梁与渡河工程，城市管理，水利水电工程，水利工程，交通工程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城乡规划学，城市规划与设计，市政工程，城市规划，城市与区域规划，建筑与土木工程，土木水利，道路与铁道工程，水工结构工程，结构工程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5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环境保护类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环境工程，水质科学与技术，灾害防治工程，环境科学与工程，环境监察，环境科学，生态学，资源环境科学，农业资源与环境，环境生态工程，环保设备工程自然地理与资源环境，水文与水资源工程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环境科学，环境工程，生态学，环境科学与工程，资源与环境，农业资源与环境，环境地质工程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6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安全生产类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安全工程，安全防范工程，消防工程，应急管理，应急技术与管理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安全技术及工程，安全科学与工程，安全工程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7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计算机类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计算机科学与技术，电子与计算机工程，空间信息与数字技术，计算机通信工程，计算机及应用，通信工程，信息管理与信息系统，数据科学与大数据技术，信息工程，大数据管理与应用，计算机软件，软件工程，计算机应用软件，信息与计算科学，数字媒体技术，信息技术应用与管理，网络工程，物联网工程，信息安全，网络空间安全，计算机技术及其应用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计算机系统结构，计算机应用技术，系统工程，计算机技术，计算机科学与技术，计算机软件与理论，软件工程，网络空间安全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8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机械工程类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机械设计制造及其自动化，机械制造及自动化，材料成型及控制工程，工业设计，过程装备与控制工程，自动化，机械工程及自动化，机械工程及其自动化，机械电子工程，制造自动化与测控技术，测控技术与仪器，微机电系统工程，制造工程，医疗器械工程，机械工程，机械工艺技术，标准化工程，质量管理工程，工业工程，金属材料工程，热能与动力工程，能源与动力工程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机械制造及其自动化，机械电子工程，机械设计及理论，动力机械及工程，流体机械及工程，制冷及低温工程，化工过程机械，控制工程，控制理论与控制工程，工业设计工程，控制科学与工程，机械工程，工业工程，精密仪器及机械，动力工程及工程热物理，机械，动力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9</w:t>
            </w:r>
          </w:p>
        </w:tc>
        <w:tc>
          <w:tcPr>
            <w:tcW w:w="1337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楷体_GB2312"/>
                <w:b/>
                <w:szCs w:val="21"/>
              </w:rPr>
            </w:pPr>
            <w:r>
              <w:rPr>
                <w:rFonts w:ascii="Times New Roman" w:hAnsi="Times New Roman" w:eastAsia="楷体_GB2312"/>
                <w:b/>
                <w:szCs w:val="21"/>
              </w:rPr>
              <w:t>法律类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法学，律师，民商法，法律，法学（法务会计）</w:t>
            </w:r>
          </w:p>
        </w:tc>
        <w:tc>
          <w:tcPr>
            <w:tcW w:w="390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Times New Roman" w:hAnsi="Times New Roman" w:eastAsia="楷体_GB2312"/>
                <w:szCs w:val="21"/>
              </w:rPr>
            </w:pPr>
            <w:r>
              <w:rPr>
                <w:rFonts w:ascii="Times New Roman" w:hAnsi="Times New Roman" w:eastAsia="楷体_GB2312"/>
                <w:szCs w:val="21"/>
              </w:rPr>
              <w:t>宪法学与行政法学，民商法学（含：劳动法学、社会保障法学），诉讼法，诉讼法学，经济法学，环境与资源保护法学，法学，法律，法律硕士，法律（法学），法律（非法学），法律硕士（法学），法律硕士（非法学），经济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20F76"/>
    <w:rsid w:val="206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2021-12-24T10:49:00Z</dcterms:created>
  <dc:creator>Administrator</dc:creator>
  <cp:lastModifiedBy>Administrator</cp:lastModifiedBy>
  <dcterms:modified xsi:type="dcterms:W3CDTF">2021-12-24T10:50:23Z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B21286BB586F4048A740522000524F33</vt:lpwstr>
  </property>
</Properties>
</file>