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“来建业 建功立业”—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—</w:t>
      </w: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建业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地产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集团20</w:t>
      </w:r>
      <w:r>
        <w:rPr>
          <w:rFonts w:ascii="微软雅黑" w:hAnsi="微软雅黑" w:eastAsia="微软雅黑" w:cs="微软雅黑"/>
          <w:b/>
          <w:sz w:val="32"/>
          <w:szCs w:val="32"/>
        </w:rPr>
        <w:t>21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春季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校园招聘</w:t>
      </w:r>
      <w:bookmarkEnd w:id="0"/>
    </w:p>
    <w:p>
      <w:pPr>
        <w:spacing w:line="480" w:lineRule="auto"/>
        <w:rPr>
          <w:rFonts w:ascii="微软雅黑" w:hAnsi="微软雅黑" w:eastAsia="微软雅黑" w:cs="微软雅黑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</w:rPr>
        <w:t>一、建业集团简介</w:t>
      </w:r>
    </w:p>
    <w:p>
      <w:pPr>
        <w:spacing w:line="48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建业集团是一家多元化的集团型公司，下设地产集团、中原建业集团、新生活集团、筑友集团、不动产集团、投资集团、教育集团、建业足球八大集团，涵盖房地产开发、物业管理、教育、足球、酒店、商业、现代农业、文化旅游、嵩云科技、装配式住宅等业务。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建业集团始终秉承“追求卓越，坚忍图成”的企业精神，立志为行业和民营经济的发展、民族的振兴、国家的富强做出贡献。基于“根植中原 造福百姓”的核心价值观，集团首创并践行“省域化发展战略”，根据国家城市化发展的宏观背景，扎根河南，逐步、分级向下延伸拓展业务。因业务模式所具的独特性，也被中国房地产界誉为“建业模式”。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/>
          <w:sz w:val="24"/>
        </w:rPr>
        <w:t>建业地产</w:t>
      </w:r>
      <w:r>
        <w:rPr>
          <w:rFonts w:hint="eastAsia" w:ascii="微软雅黑" w:hAnsi="微软雅黑" w:eastAsia="微软雅黑"/>
          <w:sz w:val="24"/>
          <w:lang w:val="en-US" w:eastAsia="zh-CN"/>
        </w:rPr>
        <w:t>集团</w:t>
      </w:r>
      <w:r>
        <w:rPr>
          <w:rFonts w:hint="eastAsia" w:ascii="微软雅黑" w:hAnsi="微软雅黑" w:eastAsia="微软雅黑"/>
          <w:sz w:val="24"/>
        </w:rPr>
        <w:t>创办于1992年5月，于2008年6月6日在香港联合交易所有限公司（“联交所”）主板上市（股票编号：832.HK），具有中国房地产开发企业一级资质。</w:t>
      </w:r>
      <w:r>
        <w:rPr>
          <w:rFonts w:hint="eastAsia" w:ascii="微软雅黑" w:hAnsi="微软雅黑" w:eastAsia="微软雅黑" w:cs="微软雅黑"/>
          <w:sz w:val="24"/>
        </w:rPr>
        <w:t>截至2019年12月31日，本公司已进入河南省的18个地级城市和104个县级城市，开发项目累计交付面积约2964万平方米，土地储备建筑面积约5093万平方米，其中权益建筑面积约3858万平方米。二十九年来，建业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地产集团</w:t>
      </w:r>
      <w:r>
        <w:rPr>
          <w:rFonts w:hint="eastAsia" w:ascii="微软雅黑" w:hAnsi="微软雅黑" w:eastAsia="微软雅黑" w:cs="微软雅黑"/>
          <w:sz w:val="24"/>
        </w:rPr>
        <w:t>连续十多年蝉联河南省房地产行业纳税冠军。</w:t>
      </w:r>
    </w:p>
    <w:p>
      <w:pPr>
        <w:spacing w:line="48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、企业荣誉：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连续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</w:rPr>
        <w:t>年入围中国房地产开发企业50强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连续1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</w:rPr>
        <w:t>年荣膺区域运营十强第1名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2020年《财富》中国500强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2020年度最具影响力城市运营商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</w:rPr>
        <w:t>中国房地产开发企业品牌价值30强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</w:rPr>
        <w:t>中国中部地产品牌价值榜单第1名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</w:rPr>
        <w:t>河南省销售额破千亿、省域化全覆盖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</w:rPr>
        <w:t>中国年度影响力地产企业30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强</w:t>
      </w:r>
    </w:p>
    <w:p>
      <w:pPr>
        <w:spacing w:line="480" w:lineRule="auto"/>
        <w:jc w:val="center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default" w:ascii="微软雅黑" w:hAnsi="微软雅黑" w:eastAsia="微软雅黑" w:cs="微软雅黑"/>
          <w:sz w:val="24"/>
          <w:lang w:val="en-US" w:eastAsia="zh-CN"/>
        </w:rPr>
        <w:t>中国房地产上市公司综合实力50强</w:t>
      </w:r>
    </w:p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2019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</w:rPr>
        <w:t>河南民营企业履行社会责任100强（第一名）</w:t>
      </w:r>
    </w:p>
    <w:p>
      <w:pPr>
        <w:spacing w:line="500" w:lineRule="exac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三、培训发展及待遇：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培训成长</w:t>
      </w:r>
      <w:r>
        <w:rPr>
          <w:rFonts w:hint="eastAsia" w:ascii="微软雅黑" w:hAnsi="微软雅黑" w:eastAsia="微软雅黑"/>
          <w:sz w:val="24"/>
        </w:rPr>
        <w:t>：中原地区地产行业黄埔军校——建业学堂，拥有丰富的内外部培训资源，完善的人才培养体系。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培养计划</w:t>
      </w:r>
      <w:r>
        <w:rPr>
          <w:rFonts w:hint="eastAsia" w:ascii="微软雅黑" w:hAnsi="微软雅黑" w:eastAsia="微软雅黑"/>
          <w:sz w:val="24"/>
        </w:rPr>
        <w:t>：建业集团为新动力员工制定了系统的培养和发展方案，致力于为集团快速发展储备一批精通数据分析、有创新理论框架、具有技术意识并且懂经营、善沟通、会管理的中高管后备生力军。通过实操训练、</w:t>
      </w:r>
      <w:r>
        <w:rPr>
          <w:rFonts w:hint="eastAsia" w:ascii="微软雅黑" w:hAnsi="微软雅黑" w:eastAsia="微软雅黑"/>
          <w:sz w:val="24"/>
          <w:lang w:val="en-US" w:eastAsia="zh-CN"/>
        </w:rPr>
        <w:t>岗位</w:t>
      </w:r>
      <w:r>
        <w:rPr>
          <w:rFonts w:hint="eastAsia" w:ascii="微软雅黑" w:hAnsi="微软雅黑" w:eastAsia="微软雅黑"/>
          <w:sz w:val="24"/>
        </w:rPr>
        <w:t>轮岗、高管带教、挂职锻炼等多种战训结合的培养形式，打造一批能够独挡一面的职能条线管理人员</w:t>
      </w:r>
      <w:r>
        <w:rPr>
          <w:rFonts w:hint="eastAsia" w:ascii="微软雅黑" w:hAnsi="微软雅黑" w:eastAsia="微软雅黑"/>
          <w:sz w:val="24"/>
          <w:lang w:val="en-US" w:eastAsia="zh-CN"/>
        </w:rPr>
        <w:t>以及</w:t>
      </w:r>
      <w:r>
        <w:rPr>
          <w:rFonts w:hint="eastAsia" w:ascii="微软雅黑" w:hAnsi="微软雅黑" w:eastAsia="微软雅黑"/>
          <w:sz w:val="24"/>
        </w:rPr>
        <w:t>能负责多项目运作的高级管理人员。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发展空间</w:t>
      </w:r>
      <w:r>
        <w:rPr>
          <w:rFonts w:hint="eastAsia" w:ascii="微软雅黑" w:hAnsi="微软雅黑" w:eastAsia="微软雅黑"/>
          <w:sz w:val="24"/>
        </w:rPr>
        <w:t>：专业、管理双通道职业发展体系，为员工提供多种晋升机会及宽广的发展平台。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薪酬待遇</w:t>
      </w:r>
      <w:r>
        <w:rPr>
          <w:rFonts w:hint="eastAsia" w:ascii="微软雅黑" w:hAnsi="微软雅黑" w:eastAsia="微软雅黑"/>
          <w:sz w:val="24"/>
        </w:rPr>
        <w:t>：以激励、共享为导向且具备竞争力的薪酬体系。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福利补贴</w:t>
      </w:r>
      <w:r>
        <w:rPr>
          <w:rFonts w:hint="eastAsia" w:ascii="微软雅黑" w:hAnsi="微软雅黑" w:eastAsia="微软雅黑"/>
          <w:sz w:val="24"/>
        </w:rPr>
        <w:t>：五险一金、各类津贴、带薪假期、员工体检、员工购房优惠及团队活动等。</w:t>
      </w:r>
    </w:p>
    <w:p>
      <w:pPr>
        <w:spacing w:line="48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、招聘岗位及专业：</w:t>
      </w:r>
    </w:p>
    <w:p>
      <w:pPr>
        <w:spacing w:line="48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根据企业发展需要，地产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集团</w:t>
      </w:r>
      <w:r>
        <w:rPr>
          <w:rFonts w:hint="eastAsia" w:ascii="微软雅黑" w:hAnsi="微软雅黑" w:eastAsia="微软雅黑" w:cs="微软雅黑"/>
          <w:sz w:val="24"/>
        </w:rPr>
        <w:t>计划招聘202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</w:rPr>
        <w:t>年优秀应届毕业生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</w:rPr>
        <w:t>0名，具体岗位类别和专业需求如下：</w:t>
      </w:r>
    </w:p>
    <w:tbl>
      <w:tblPr>
        <w:tblStyle w:val="9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工程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工程管理、土木工程、暖通工程、给排水工程等相关专业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设计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岗</w:t>
            </w:r>
          </w:p>
        </w:tc>
        <w:tc>
          <w:tcPr>
            <w:tcW w:w="70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建筑学、城市规划、室内设计、景观设计等相关专业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成本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工程管理、工程造价、房地产经营管理等相关专业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财务岗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会计学、财务管理、审计、税务、投资等财会类相关专业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营销策划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市场营销、工商管理、广告学、新闻传媒等相关专业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投资岗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金融学、投资学、工程造价、财务、法律、城市规划等相关专业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客服岗</w:t>
            </w:r>
          </w:p>
        </w:tc>
        <w:tc>
          <w:tcPr>
            <w:tcW w:w="70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工程管理、房地产开发与管理、统计学等相关专业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、应聘须知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校招流程：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1、网申投递简历：手机端关注建业招聘微信公众号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eastAsia="zh-CN"/>
        </w:rPr>
        <w:t>—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建业招聘（centralchinahr）投递简历（所有候选人均须通过网申系统投递简历）；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线上初试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；</w:t>
      </w:r>
    </w:p>
    <w:p>
      <w:pPr>
        <w:spacing w:line="500" w:lineRule="exact"/>
        <w:ind w:firstLine="480" w:firstLineChars="200"/>
        <w:rPr>
          <w:rFonts w:hint="default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</w:rPr>
        <w:t>3、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线上复试；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4、笔试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&amp;</w:t>
      </w:r>
      <w:r>
        <w:rPr>
          <w:rFonts w:hint="eastAsia" w:ascii="微软雅黑" w:hAnsi="微软雅黑" w:eastAsia="微软雅黑"/>
          <w:color w:val="000000"/>
          <w:sz w:val="24"/>
        </w:rPr>
        <w:t>终试；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5、签订就业协议。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招聘要求：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1、全日制本科及以上学历，专业符合应聘岗位要求；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2、学习成绩优异，获得过奖学金、有竞赛或设计制作获奖经历者优先； 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3、综合素质良好，具有较强的学习能力和良好的团队协作精神，能承受一定的工作压力；</w:t>
      </w:r>
    </w:p>
    <w:p>
      <w:pPr>
        <w:spacing w:line="50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4、容貌端正、身心健康，具有履行工作职责所应具备的身心条件；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5、担任过学生干部、组织过社团活动者或党员优先。</w:t>
      </w:r>
    </w:p>
    <w:p>
      <w:pPr>
        <w:spacing w:line="240" w:lineRule="auto"/>
        <w:ind w:firstLine="480" w:firstLineChars="200"/>
        <w:jc w:val="center"/>
        <w:rPr>
          <w:rFonts w:hint="eastAsia" w:ascii="微软雅黑" w:hAnsi="微软雅黑" w:eastAsia="微软雅黑"/>
          <w:color w:val="000000"/>
          <w:sz w:val="24"/>
          <w:lang w:eastAsia="zh-CN"/>
        </w:rPr>
      </w:pPr>
      <w:r>
        <w:rPr>
          <w:rFonts w:hint="eastAsia" w:ascii="微软雅黑" w:hAnsi="微软雅黑" w:eastAsia="微软雅黑"/>
          <w:color w:val="000000"/>
          <w:sz w:val="24"/>
          <w:lang w:eastAsia="zh-CN"/>
        </w:rPr>
        <w:drawing>
          <wp:inline distT="0" distB="0" distL="114300" distR="114300">
            <wp:extent cx="2521585" cy="2521585"/>
            <wp:effectExtent l="0" t="0" r="12065" b="12065"/>
            <wp:docPr id="1" name="图片 1" descr="建业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业招聘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80" w:firstLineChars="200"/>
        <w:jc w:val="center"/>
        <w:rPr>
          <w:rFonts w:hint="default" w:ascii="微软雅黑" w:hAnsi="微软雅黑" w:eastAsia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扫描二维码关注公众号，点击“来建业”“建功立业”投递简历。</w:t>
      </w:r>
    </w:p>
    <w:sectPr>
      <w:headerReference r:id="rId3" w:type="default"/>
      <w:type w:val="continuous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40"/>
      </w:tabs>
      <w:jc w:val="left"/>
    </w:pPr>
    <w:r>
      <w:drawing>
        <wp:inline distT="0" distB="0" distL="0" distR="0">
          <wp:extent cx="827405" cy="2381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767" cy="2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9A7"/>
    <w:rsid w:val="0000639E"/>
    <w:rsid w:val="000107E4"/>
    <w:rsid w:val="00014AF8"/>
    <w:rsid w:val="00015F46"/>
    <w:rsid w:val="0002617D"/>
    <w:rsid w:val="00027192"/>
    <w:rsid w:val="00027205"/>
    <w:rsid w:val="000326FE"/>
    <w:rsid w:val="00036407"/>
    <w:rsid w:val="00040301"/>
    <w:rsid w:val="0004103D"/>
    <w:rsid w:val="00041D85"/>
    <w:rsid w:val="00043A88"/>
    <w:rsid w:val="000472D5"/>
    <w:rsid w:val="000541C1"/>
    <w:rsid w:val="00067CCC"/>
    <w:rsid w:val="0007645D"/>
    <w:rsid w:val="000802DA"/>
    <w:rsid w:val="00081BA2"/>
    <w:rsid w:val="000854F2"/>
    <w:rsid w:val="000855E7"/>
    <w:rsid w:val="00086D6E"/>
    <w:rsid w:val="00095576"/>
    <w:rsid w:val="00095C37"/>
    <w:rsid w:val="0009774D"/>
    <w:rsid w:val="000A7C53"/>
    <w:rsid w:val="000B4E88"/>
    <w:rsid w:val="000C6FC1"/>
    <w:rsid w:val="000D36E6"/>
    <w:rsid w:val="000E1268"/>
    <w:rsid w:val="000E3016"/>
    <w:rsid w:val="000E5806"/>
    <w:rsid w:val="000F48FC"/>
    <w:rsid w:val="000F52AE"/>
    <w:rsid w:val="000F5D67"/>
    <w:rsid w:val="000F649B"/>
    <w:rsid w:val="00100629"/>
    <w:rsid w:val="0010223D"/>
    <w:rsid w:val="00103054"/>
    <w:rsid w:val="00107AB2"/>
    <w:rsid w:val="001101DE"/>
    <w:rsid w:val="00110797"/>
    <w:rsid w:val="00111DD9"/>
    <w:rsid w:val="001128B4"/>
    <w:rsid w:val="0011548F"/>
    <w:rsid w:val="00117221"/>
    <w:rsid w:val="00121666"/>
    <w:rsid w:val="001342B6"/>
    <w:rsid w:val="00143624"/>
    <w:rsid w:val="00144C18"/>
    <w:rsid w:val="00145EB1"/>
    <w:rsid w:val="00147FDE"/>
    <w:rsid w:val="001511B5"/>
    <w:rsid w:val="00154711"/>
    <w:rsid w:val="0016346B"/>
    <w:rsid w:val="0016747C"/>
    <w:rsid w:val="00177F7F"/>
    <w:rsid w:val="00190134"/>
    <w:rsid w:val="001B5884"/>
    <w:rsid w:val="001B74B5"/>
    <w:rsid w:val="001B77EF"/>
    <w:rsid w:val="001D6474"/>
    <w:rsid w:val="001D752E"/>
    <w:rsid w:val="001E611D"/>
    <w:rsid w:val="001E61D0"/>
    <w:rsid w:val="001F163B"/>
    <w:rsid w:val="001F4FAA"/>
    <w:rsid w:val="00200ACC"/>
    <w:rsid w:val="00203E6E"/>
    <w:rsid w:val="002141DF"/>
    <w:rsid w:val="00216164"/>
    <w:rsid w:val="00223C42"/>
    <w:rsid w:val="00226F2E"/>
    <w:rsid w:val="0023116A"/>
    <w:rsid w:val="002343F3"/>
    <w:rsid w:val="00234964"/>
    <w:rsid w:val="00235C34"/>
    <w:rsid w:val="00241C19"/>
    <w:rsid w:val="00262E20"/>
    <w:rsid w:val="002658E2"/>
    <w:rsid w:val="00271D1C"/>
    <w:rsid w:val="0027302C"/>
    <w:rsid w:val="0027341F"/>
    <w:rsid w:val="002806A2"/>
    <w:rsid w:val="0028126E"/>
    <w:rsid w:val="0028623C"/>
    <w:rsid w:val="0029175E"/>
    <w:rsid w:val="002927A1"/>
    <w:rsid w:val="002A2156"/>
    <w:rsid w:val="002A3611"/>
    <w:rsid w:val="002A7883"/>
    <w:rsid w:val="002B30DA"/>
    <w:rsid w:val="002B3F32"/>
    <w:rsid w:val="002D0402"/>
    <w:rsid w:val="002D2288"/>
    <w:rsid w:val="002D2653"/>
    <w:rsid w:val="002D4CB3"/>
    <w:rsid w:val="002D7628"/>
    <w:rsid w:val="002D7EF8"/>
    <w:rsid w:val="002D7FE4"/>
    <w:rsid w:val="002E239A"/>
    <w:rsid w:val="002E7174"/>
    <w:rsid w:val="002F17DA"/>
    <w:rsid w:val="002F2320"/>
    <w:rsid w:val="002F2490"/>
    <w:rsid w:val="002F4E62"/>
    <w:rsid w:val="002F4F7B"/>
    <w:rsid w:val="0030093E"/>
    <w:rsid w:val="00303D85"/>
    <w:rsid w:val="00316071"/>
    <w:rsid w:val="00323073"/>
    <w:rsid w:val="003312BD"/>
    <w:rsid w:val="003335AE"/>
    <w:rsid w:val="00342C7B"/>
    <w:rsid w:val="00342F97"/>
    <w:rsid w:val="00352340"/>
    <w:rsid w:val="00356CAA"/>
    <w:rsid w:val="003575EC"/>
    <w:rsid w:val="00366C33"/>
    <w:rsid w:val="003677C9"/>
    <w:rsid w:val="003714D5"/>
    <w:rsid w:val="00373748"/>
    <w:rsid w:val="003763C4"/>
    <w:rsid w:val="00377843"/>
    <w:rsid w:val="00381992"/>
    <w:rsid w:val="003852FF"/>
    <w:rsid w:val="00387C76"/>
    <w:rsid w:val="003A113C"/>
    <w:rsid w:val="003A60E1"/>
    <w:rsid w:val="003B1362"/>
    <w:rsid w:val="003B1D2D"/>
    <w:rsid w:val="003B1E25"/>
    <w:rsid w:val="003B249E"/>
    <w:rsid w:val="003B2A76"/>
    <w:rsid w:val="003C0F42"/>
    <w:rsid w:val="003C2651"/>
    <w:rsid w:val="003C5987"/>
    <w:rsid w:val="003D52C7"/>
    <w:rsid w:val="003E5C5F"/>
    <w:rsid w:val="003E7113"/>
    <w:rsid w:val="003F0840"/>
    <w:rsid w:val="003F62DF"/>
    <w:rsid w:val="003F6307"/>
    <w:rsid w:val="003F6586"/>
    <w:rsid w:val="0040298A"/>
    <w:rsid w:val="00410D1D"/>
    <w:rsid w:val="0042123F"/>
    <w:rsid w:val="004258AD"/>
    <w:rsid w:val="004313D2"/>
    <w:rsid w:val="004323FC"/>
    <w:rsid w:val="00440EA5"/>
    <w:rsid w:val="0045137D"/>
    <w:rsid w:val="00455BEB"/>
    <w:rsid w:val="004608C5"/>
    <w:rsid w:val="00461EEA"/>
    <w:rsid w:val="004643D5"/>
    <w:rsid w:val="00467880"/>
    <w:rsid w:val="0047705A"/>
    <w:rsid w:val="004913CA"/>
    <w:rsid w:val="0049356D"/>
    <w:rsid w:val="004A0628"/>
    <w:rsid w:val="004B2456"/>
    <w:rsid w:val="004B35F0"/>
    <w:rsid w:val="004B4AAF"/>
    <w:rsid w:val="004C35FF"/>
    <w:rsid w:val="004D312F"/>
    <w:rsid w:val="004D3E60"/>
    <w:rsid w:val="004D7922"/>
    <w:rsid w:val="004E26E1"/>
    <w:rsid w:val="004F1F7B"/>
    <w:rsid w:val="004F2E50"/>
    <w:rsid w:val="004F72EB"/>
    <w:rsid w:val="00505316"/>
    <w:rsid w:val="00512B61"/>
    <w:rsid w:val="0051674D"/>
    <w:rsid w:val="00521E0D"/>
    <w:rsid w:val="005243C3"/>
    <w:rsid w:val="00527D7B"/>
    <w:rsid w:val="00530AEA"/>
    <w:rsid w:val="005416F2"/>
    <w:rsid w:val="00541903"/>
    <w:rsid w:val="00550A89"/>
    <w:rsid w:val="00551A93"/>
    <w:rsid w:val="00551B7B"/>
    <w:rsid w:val="00552553"/>
    <w:rsid w:val="0055353A"/>
    <w:rsid w:val="005748E6"/>
    <w:rsid w:val="00580B2D"/>
    <w:rsid w:val="0058223C"/>
    <w:rsid w:val="00582442"/>
    <w:rsid w:val="00597DC2"/>
    <w:rsid w:val="005A6275"/>
    <w:rsid w:val="005B48D4"/>
    <w:rsid w:val="005C0340"/>
    <w:rsid w:val="005C7BD2"/>
    <w:rsid w:val="005D27E8"/>
    <w:rsid w:val="005D2E55"/>
    <w:rsid w:val="005D34D0"/>
    <w:rsid w:val="005E12AD"/>
    <w:rsid w:val="005E6863"/>
    <w:rsid w:val="00602794"/>
    <w:rsid w:val="00605354"/>
    <w:rsid w:val="006068CB"/>
    <w:rsid w:val="00610A20"/>
    <w:rsid w:val="00611DCF"/>
    <w:rsid w:val="00612272"/>
    <w:rsid w:val="006164E9"/>
    <w:rsid w:val="00617D3A"/>
    <w:rsid w:val="00624071"/>
    <w:rsid w:val="00647757"/>
    <w:rsid w:val="00647B4D"/>
    <w:rsid w:val="0066354A"/>
    <w:rsid w:val="00666CD5"/>
    <w:rsid w:val="00667F94"/>
    <w:rsid w:val="006710CD"/>
    <w:rsid w:val="0067174E"/>
    <w:rsid w:val="00674462"/>
    <w:rsid w:val="00676ACF"/>
    <w:rsid w:val="006807E5"/>
    <w:rsid w:val="006852B7"/>
    <w:rsid w:val="006902AE"/>
    <w:rsid w:val="006907C7"/>
    <w:rsid w:val="00697BAA"/>
    <w:rsid w:val="006A26A6"/>
    <w:rsid w:val="006A38BC"/>
    <w:rsid w:val="006A5ED6"/>
    <w:rsid w:val="006B536B"/>
    <w:rsid w:val="006B72BD"/>
    <w:rsid w:val="006B7B23"/>
    <w:rsid w:val="006B7E26"/>
    <w:rsid w:val="006C24FA"/>
    <w:rsid w:val="006C59E9"/>
    <w:rsid w:val="006C7CA9"/>
    <w:rsid w:val="006D2500"/>
    <w:rsid w:val="006D3A1C"/>
    <w:rsid w:val="006D645F"/>
    <w:rsid w:val="006E198A"/>
    <w:rsid w:val="006E20A8"/>
    <w:rsid w:val="006E3897"/>
    <w:rsid w:val="006E3DBB"/>
    <w:rsid w:val="006E6BF2"/>
    <w:rsid w:val="006F161F"/>
    <w:rsid w:val="006F16DB"/>
    <w:rsid w:val="00705BCF"/>
    <w:rsid w:val="00713DDB"/>
    <w:rsid w:val="00720639"/>
    <w:rsid w:val="007217A0"/>
    <w:rsid w:val="0072747D"/>
    <w:rsid w:val="007307C4"/>
    <w:rsid w:val="00730EEA"/>
    <w:rsid w:val="00733505"/>
    <w:rsid w:val="0073547C"/>
    <w:rsid w:val="00737403"/>
    <w:rsid w:val="007405F4"/>
    <w:rsid w:val="007409A9"/>
    <w:rsid w:val="00741F49"/>
    <w:rsid w:val="00743232"/>
    <w:rsid w:val="007504BB"/>
    <w:rsid w:val="00752ED8"/>
    <w:rsid w:val="00773503"/>
    <w:rsid w:val="0077377B"/>
    <w:rsid w:val="00776CA9"/>
    <w:rsid w:val="007807D7"/>
    <w:rsid w:val="00784424"/>
    <w:rsid w:val="00786B6B"/>
    <w:rsid w:val="00793C01"/>
    <w:rsid w:val="007954D7"/>
    <w:rsid w:val="00795B30"/>
    <w:rsid w:val="00797035"/>
    <w:rsid w:val="007976C8"/>
    <w:rsid w:val="007A6E2B"/>
    <w:rsid w:val="007C09A3"/>
    <w:rsid w:val="007C09E5"/>
    <w:rsid w:val="007C1AD5"/>
    <w:rsid w:val="007D2192"/>
    <w:rsid w:val="007D25FB"/>
    <w:rsid w:val="007E37E3"/>
    <w:rsid w:val="00801C18"/>
    <w:rsid w:val="00806BB0"/>
    <w:rsid w:val="00806E67"/>
    <w:rsid w:val="00807181"/>
    <w:rsid w:val="0082028C"/>
    <w:rsid w:val="0082194B"/>
    <w:rsid w:val="00821F81"/>
    <w:rsid w:val="008232CF"/>
    <w:rsid w:val="00826757"/>
    <w:rsid w:val="0083184C"/>
    <w:rsid w:val="00831C30"/>
    <w:rsid w:val="00840494"/>
    <w:rsid w:val="008407ED"/>
    <w:rsid w:val="00854290"/>
    <w:rsid w:val="00862D52"/>
    <w:rsid w:val="00867491"/>
    <w:rsid w:val="00867D8C"/>
    <w:rsid w:val="008B2A81"/>
    <w:rsid w:val="008B4EB8"/>
    <w:rsid w:val="008C5A30"/>
    <w:rsid w:val="008E6196"/>
    <w:rsid w:val="008E758A"/>
    <w:rsid w:val="008F0A2C"/>
    <w:rsid w:val="008F2971"/>
    <w:rsid w:val="008F3580"/>
    <w:rsid w:val="008F679A"/>
    <w:rsid w:val="00905952"/>
    <w:rsid w:val="00906109"/>
    <w:rsid w:val="0091799F"/>
    <w:rsid w:val="009227AB"/>
    <w:rsid w:val="00926A7B"/>
    <w:rsid w:val="00926E8F"/>
    <w:rsid w:val="00927CC2"/>
    <w:rsid w:val="0093246A"/>
    <w:rsid w:val="00934D7E"/>
    <w:rsid w:val="009368C5"/>
    <w:rsid w:val="00937542"/>
    <w:rsid w:val="00943594"/>
    <w:rsid w:val="009464A9"/>
    <w:rsid w:val="009518A3"/>
    <w:rsid w:val="009520DE"/>
    <w:rsid w:val="00953C9E"/>
    <w:rsid w:val="00957838"/>
    <w:rsid w:val="0096244B"/>
    <w:rsid w:val="00966B7C"/>
    <w:rsid w:val="00970BC6"/>
    <w:rsid w:val="009804F3"/>
    <w:rsid w:val="00990E9A"/>
    <w:rsid w:val="009B2317"/>
    <w:rsid w:val="009B482B"/>
    <w:rsid w:val="009B68F7"/>
    <w:rsid w:val="009C27C9"/>
    <w:rsid w:val="009C4092"/>
    <w:rsid w:val="009C674B"/>
    <w:rsid w:val="009C7780"/>
    <w:rsid w:val="009D142A"/>
    <w:rsid w:val="009D22D2"/>
    <w:rsid w:val="009D23DE"/>
    <w:rsid w:val="009D3228"/>
    <w:rsid w:val="009D47FC"/>
    <w:rsid w:val="009E3343"/>
    <w:rsid w:val="009E6D10"/>
    <w:rsid w:val="00A0490A"/>
    <w:rsid w:val="00A07154"/>
    <w:rsid w:val="00A111C6"/>
    <w:rsid w:val="00A137B0"/>
    <w:rsid w:val="00A203CA"/>
    <w:rsid w:val="00A23DEC"/>
    <w:rsid w:val="00A31748"/>
    <w:rsid w:val="00A34B07"/>
    <w:rsid w:val="00A36428"/>
    <w:rsid w:val="00A36AFE"/>
    <w:rsid w:val="00A41214"/>
    <w:rsid w:val="00A42D52"/>
    <w:rsid w:val="00A54D7C"/>
    <w:rsid w:val="00A61412"/>
    <w:rsid w:val="00A61805"/>
    <w:rsid w:val="00A67A5F"/>
    <w:rsid w:val="00A81886"/>
    <w:rsid w:val="00A82A24"/>
    <w:rsid w:val="00A85A26"/>
    <w:rsid w:val="00A874EC"/>
    <w:rsid w:val="00A90DA2"/>
    <w:rsid w:val="00AA1666"/>
    <w:rsid w:val="00AA6621"/>
    <w:rsid w:val="00AA7028"/>
    <w:rsid w:val="00AA7074"/>
    <w:rsid w:val="00AB16F8"/>
    <w:rsid w:val="00AB4D93"/>
    <w:rsid w:val="00AD2DF1"/>
    <w:rsid w:val="00AD3C51"/>
    <w:rsid w:val="00AE0224"/>
    <w:rsid w:val="00AE382F"/>
    <w:rsid w:val="00AE3A08"/>
    <w:rsid w:val="00AE45EF"/>
    <w:rsid w:val="00AE5D2D"/>
    <w:rsid w:val="00AF530B"/>
    <w:rsid w:val="00AF6747"/>
    <w:rsid w:val="00B00937"/>
    <w:rsid w:val="00B0132C"/>
    <w:rsid w:val="00B03C27"/>
    <w:rsid w:val="00B0568F"/>
    <w:rsid w:val="00B10F8C"/>
    <w:rsid w:val="00B118B8"/>
    <w:rsid w:val="00B120DA"/>
    <w:rsid w:val="00B232BD"/>
    <w:rsid w:val="00B23644"/>
    <w:rsid w:val="00B23945"/>
    <w:rsid w:val="00B27ED9"/>
    <w:rsid w:val="00B309AF"/>
    <w:rsid w:val="00B30EB2"/>
    <w:rsid w:val="00B313E7"/>
    <w:rsid w:val="00B328C1"/>
    <w:rsid w:val="00B36A9C"/>
    <w:rsid w:val="00B44C03"/>
    <w:rsid w:val="00B53CC3"/>
    <w:rsid w:val="00B64E0B"/>
    <w:rsid w:val="00B75253"/>
    <w:rsid w:val="00B756D1"/>
    <w:rsid w:val="00B83589"/>
    <w:rsid w:val="00BA67A7"/>
    <w:rsid w:val="00BA72C7"/>
    <w:rsid w:val="00BA7E5C"/>
    <w:rsid w:val="00BB0DF7"/>
    <w:rsid w:val="00BB1039"/>
    <w:rsid w:val="00BB40BA"/>
    <w:rsid w:val="00BB6908"/>
    <w:rsid w:val="00BC24E9"/>
    <w:rsid w:val="00BC6A1E"/>
    <w:rsid w:val="00BD214B"/>
    <w:rsid w:val="00BD4CF4"/>
    <w:rsid w:val="00BD55D5"/>
    <w:rsid w:val="00BE0A7B"/>
    <w:rsid w:val="00BE2548"/>
    <w:rsid w:val="00BF1B91"/>
    <w:rsid w:val="00BF5153"/>
    <w:rsid w:val="00C01728"/>
    <w:rsid w:val="00C02C3E"/>
    <w:rsid w:val="00C11FE7"/>
    <w:rsid w:val="00C127AD"/>
    <w:rsid w:val="00C15173"/>
    <w:rsid w:val="00C160BE"/>
    <w:rsid w:val="00C20ACF"/>
    <w:rsid w:val="00C20F70"/>
    <w:rsid w:val="00C21962"/>
    <w:rsid w:val="00C34F42"/>
    <w:rsid w:val="00C362BD"/>
    <w:rsid w:val="00C3691C"/>
    <w:rsid w:val="00C440EC"/>
    <w:rsid w:val="00C4644C"/>
    <w:rsid w:val="00C57CE9"/>
    <w:rsid w:val="00C670CE"/>
    <w:rsid w:val="00C71F87"/>
    <w:rsid w:val="00C73418"/>
    <w:rsid w:val="00C756F7"/>
    <w:rsid w:val="00C8583D"/>
    <w:rsid w:val="00C87340"/>
    <w:rsid w:val="00C87EA7"/>
    <w:rsid w:val="00CA250B"/>
    <w:rsid w:val="00CB379A"/>
    <w:rsid w:val="00CC1382"/>
    <w:rsid w:val="00CC2558"/>
    <w:rsid w:val="00CD5630"/>
    <w:rsid w:val="00CE00C0"/>
    <w:rsid w:val="00CE3429"/>
    <w:rsid w:val="00CE4D63"/>
    <w:rsid w:val="00D040AA"/>
    <w:rsid w:val="00D109A6"/>
    <w:rsid w:val="00D117C4"/>
    <w:rsid w:val="00D125C7"/>
    <w:rsid w:val="00D14E27"/>
    <w:rsid w:val="00D165F1"/>
    <w:rsid w:val="00D16C37"/>
    <w:rsid w:val="00D20A9A"/>
    <w:rsid w:val="00D2389A"/>
    <w:rsid w:val="00D26AE5"/>
    <w:rsid w:val="00D47922"/>
    <w:rsid w:val="00D5159F"/>
    <w:rsid w:val="00D51907"/>
    <w:rsid w:val="00D57453"/>
    <w:rsid w:val="00D57C31"/>
    <w:rsid w:val="00D731E9"/>
    <w:rsid w:val="00D762AD"/>
    <w:rsid w:val="00D77D74"/>
    <w:rsid w:val="00D81912"/>
    <w:rsid w:val="00D852F3"/>
    <w:rsid w:val="00DA7805"/>
    <w:rsid w:val="00DB0DF6"/>
    <w:rsid w:val="00DB27DD"/>
    <w:rsid w:val="00DB5EE9"/>
    <w:rsid w:val="00DC33BD"/>
    <w:rsid w:val="00DC6166"/>
    <w:rsid w:val="00DD3BF2"/>
    <w:rsid w:val="00DD3C55"/>
    <w:rsid w:val="00DD60F5"/>
    <w:rsid w:val="00DD7C9B"/>
    <w:rsid w:val="00DE0696"/>
    <w:rsid w:val="00DE4B7B"/>
    <w:rsid w:val="00DF2702"/>
    <w:rsid w:val="00DF2888"/>
    <w:rsid w:val="00DF4573"/>
    <w:rsid w:val="00DF5A1B"/>
    <w:rsid w:val="00E00553"/>
    <w:rsid w:val="00E05592"/>
    <w:rsid w:val="00E16077"/>
    <w:rsid w:val="00E2106D"/>
    <w:rsid w:val="00E250A6"/>
    <w:rsid w:val="00E33064"/>
    <w:rsid w:val="00E42D42"/>
    <w:rsid w:val="00E5086F"/>
    <w:rsid w:val="00E548D4"/>
    <w:rsid w:val="00E70402"/>
    <w:rsid w:val="00E7077A"/>
    <w:rsid w:val="00E70D97"/>
    <w:rsid w:val="00E81DF4"/>
    <w:rsid w:val="00E85751"/>
    <w:rsid w:val="00E91ECD"/>
    <w:rsid w:val="00E93B71"/>
    <w:rsid w:val="00E94549"/>
    <w:rsid w:val="00E97A41"/>
    <w:rsid w:val="00EA5894"/>
    <w:rsid w:val="00EA5B0E"/>
    <w:rsid w:val="00EB14E2"/>
    <w:rsid w:val="00EB268E"/>
    <w:rsid w:val="00EB7571"/>
    <w:rsid w:val="00EC5D8B"/>
    <w:rsid w:val="00EC6718"/>
    <w:rsid w:val="00EC6A1D"/>
    <w:rsid w:val="00EC6C5F"/>
    <w:rsid w:val="00EC7C6C"/>
    <w:rsid w:val="00ED2268"/>
    <w:rsid w:val="00EE2F01"/>
    <w:rsid w:val="00EE39E5"/>
    <w:rsid w:val="00EE6037"/>
    <w:rsid w:val="00EE63A7"/>
    <w:rsid w:val="00EF0938"/>
    <w:rsid w:val="00EF3890"/>
    <w:rsid w:val="00EF39D6"/>
    <w:rsid w:val="00EF7552"/>
    <w:rsid w:val="00F00875"/>
    <w:rsid w:val="00F02BEA"/>
    <w:rsid w:val="00F060C7"/>
    <w:rsid w:val="00F06CBE"/>
    <w:rsid w:val="00F21293"/>
    <w:rsid w:val="00F21DC4"/>
    <w:rsid w:val="00F4774C"/>
    <w:rsid w:val="00F63A4B"/>
    <w:rsid w:val="00F63EE4"/>
    <w:rsid w:val="00F64603"/>
    <w:rsid w:val="00F72145"/>
    <w:rsid w:val="00F73540"/>
    <w:rsid w:val="00F774EF"/>
    <w:rsid w:val="00F85A2C"/>
    <w:rsid w:val="00F94CAD"/>
    <w:rsid w:val="00FA0071"/>
    <w:rsid w:val="00FA092B"/>
    <w:rsid w:val="00FA27F5"/>
    <w:rsid w:val="00FA6A46"/>
    <w:rsid w:val="00FA7F37"/>
    <w:rsid w:val="00FB20AD"/>
    <w:rsid w:val="00FB29F2"/>
    <w:rsid w:val="00FD49B5"/>
    <w:rsid w:val="00FD538E"/>
    <w:rsid w:val="00FD75E7"/>
    <w:rsid w:val="00FD7F79"/>
    <w:rsid w:val="00FE158C"/>
    <w:rsid w:val="00FE4E38"/>
    <w:rsid w:val="00FE6EBB"/>
    <w:rsid w:val="00FF0E49"/>
    <w:rsid w:val="00FF10EB"/>
    <w:rsid w:val="00FF184D"/>
    <w:rsid w:val="00FF3F14"/>
    <w:rsid w:val="00FF7B4E"/>
    <w:rsid w:val="02FB1E5F"/>
    <w:rsid w:val="089D0D93"/>
    <w:rsid w:val="096E6B26"/>
    <w:rsid w:val="0D850366"/>
    <w:rsid w:val="0E3066D4"/>
    <w:rsid w:val="0F8D253C"/>
    <w:rsid w:val="11EE053E"/>
    <w:rsid w:val="12C51464"/>
    <w:rsid w:val="14B532E1"/>
    <w:rsid w:val="14BB3891"/>
    <w:rsid w:val="15E15B10"/>
    <w:rsid w:val="28A33FB3"/>
    <w:rsid w:val="2A36544C"/>
    <w:rsid w:val="2BCC4B81"/>
    <w:rsid w:val="2DCE5B13"/>
    <w:rsid w:val="3702290C"/>
    <w:rsid w:val="3B5055DF"/>
    <w:rsid w:val="3FD01420"/>
    <w:rsid w:val="41840C44"/>
    <w:rsid w:val="45A02C8D"/>
    <w:rsid w:val="49A10EFF"/>
    <w:rsid w:val="5A2024DC"/>
    <w:rsid w:val="5C995778"/>
    <w:rsid w:val="5D6A6BCA"/>
    <w:rsid w:val="68B60AEF"/>
    <w:rsid w:val="69A947E9"/>
    <w:rsid w:val="6CC66DA7"/>
    <w:rsid w:val="710169A3"/>
    <w:rsid w:val="77E677D5"/>
    <w:rsid w:val="7C6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7">
    <w:name w:val="duanlue"/>
    <w:basedOn w:val="1"/>
    <w:qFormat/>
    <w:uiPriority w:val="99"/>
    <w:pPr>
      <w:widowControl/>
      <w:ind w:firstLine="480"/>
      <w:jc w:val="left"/>
    </w:pPr>
    <w:rPr>
      <w:rFonts w:ascii="宋体" w:hAnsi="宋体" w:cs="宋体"/>
      <w:color w:val="4C4B4B"/>
      <w:kern w:val="0"/>
      <w:sz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0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1">
    <w:name w:val="批注主题 字符"/>
    <w:basedOn w:val="20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FB03D-9468-4E3D-9E80-9BAA69D17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270</Words>
  <Characters>1540</Characters>
  <Lines>12</Lines>
  <Paragraphs>3</Paragraphs>
  <TotalTime>177</TotalTime>
  <ScaleCrop>false</ScaleCrop>
  <LinksUpToDate>false</LinksUpToDate>
  <CharactersWithSpaces>1807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2019-08-21T09:40:00Z</dcterms:created>
  <dc:creator>LENOVO</dc:creator>
  <cp:lastModifiedBy>韩明桢</cp:lastModifiedBy>
  <cp:lastPrinted>2015-10-13T06:31:00Z</cp:lastPrinted>
  <dcterms:modified xsi:type="dcterms:W3CDTF">2021-03-22T08:48:06Z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BF84B3FDD1554CCAA5B31926E733697E</vt:lpwstr>
  </property>
</Properties>
</file>